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60"/>
        <w:jc w:val="left"/>
        <w:widowControl/>
      </w:pPr>
      <w:r>
        <w:rPr>
          <w:rFonts w:ascii="Liberation Sans" w:hAnsi="Liberation Sans"/>
          <w:b/>
          <w:color w:val="1F4658"/>
          <w:sz w:val="72"/>
        </w:rPr>
        <w:t>H350-64</w:t>
      </w:r>
    </w:p>
    <w:p>
      <w:pPr>
        <w:spacing w:after="160"/>
        <w:widowControl/>
      </w:pPr>
      <w:r>
        <w:rPr>
          <w:rFonts w:ascii="Liberation Sans" w:hAnsi="Liberation Sans"/>
          <w:b/>
          <w:sz w:val="46"/>
        </w:rPr>
        <w:t>Rigid Airship Master Design Paper</w:t>
      </w:r>
    </w:p>
    <w:p>
      <w:pPr>
        <w:widowControl/>
      </w:pPr>
      <w:r>
        <w:rPr>
          <w:rFonts w:ascii="Liberation Sans" w:hAnsi="Liberation Sans"/>
          <w:color w:val="345B72"/>
          <w:sz w:val="32"/>
        </w:rPr>
        <w:t>Consolidated v1.3 Theory Closure Release</w:t>
      </w:r>
    </w:p>
    <w:tbl>
      <w:tblPr>
        <w:tblW w:type="auto" w:w="0"/>
        <w:jc w:val="center"/>
        <w:tblLayout w:type="fixed"/>
        <w:tblLook w:firstColumn="1" w:firstRow="1" w:lastColumn="0" w:lastRow="0" w:noHBand="0" w:noVBand="1" w:val="04A0"/>
      </w:tblPr>
      <w:tblGrid>
        <w:gridCol w:w="9072"/>
      </w:tblGrid>
      <w:tr>
        <w:tc>
          <w:tcPr>
            <w:tcW w:type="dxa" w:w="10080"/>
            <w:shd w:fill="E8EEF1"/>
            <w:tcMar>
              <w:top w:w="120" w:type="dxa"/>
              <w:start w:w="150" w:type="dxa"/>
              <w:bottom w:w="120" w:type="dxa"/>
              <w:end w:w="150" w:type="dxa"/>
            </w:tcMar>
          </w:tcPr>
          <w:p>
            <w:r>
              <w:rPr>
                <w:b/>
                <w:color w:val="204658"/>
              </w:rPr>
              <w:t xml:space="preserve">STATUS  </w:t>
            </w:r>
            <w:r>
              <w:t>Wissenschaftlicher Preliminary-Design- und Pre-Test-Stand. Dieses Dokument ist keine Bau-, Betriebs-, Flug- oder Zulassungsfreigabe. Es konsolidiert die Entwicklung v0.1 bis v1.2 und ergänzt die bis zum 19.09.2026 ohne neue experimentelle Evidenz sinnvoll ausführbaren Reduced-Order- und Bounding-Analysen.</w:t>
            </w:r>
          </w:p>
        </w:tc>
      </w:tr>
    </w:tbl>
    <w:p>
      <w:pPr>
        <w:spacing w:after="20"/>
        <w:widowControl/>
      </w:pPr>
    </w:p>
    <w:p>
      <w:pPr>
        <w:spacing w:before="360"/>
        <w:widowControl/>
      </w:pPr>
    </w:p>
    <w:p>
      <w:pPr>
        <w:spacing w:after="80"/>
        <w:widowControl/>
      </w:pPr>
      <w:r>
        <w:rPr>
          <w:rFonts w:ascii="Liberation Sans" w:hAnsi="Liberation Sans"/>
          <w:b/>
        </w:rPr>
        <w:t xml:space="preserve">Autor: </w:t>
      </w:r>
      <w:r>
        <w:rPr>
          <w:rFonts w:ascii="Liberation Serif" w:hAnsi="Liberation Serif"/>
        </w:rPr>
        <w:t>Chris Oesterreich</w:t>
      </w:r>
    </w:p>
    <w:p>
      <w:pPr>
        <w:spacing w:after="80"/>
        <w:widowControl/>
      </w:pPr>
      <w:r>
        <w:rPr>
          <w:rFonts w:ascii="Liberation Sans" w:hAnsi="Liberation Sans"/>
          <w:b/>
        </w:rPr>
        <w:t xml:space="preserve">Konfiguration: </w:t>
      </w:r>
      <w:r>
        <w:rPr>
          <w:rFonts w:ascii="Liberation Serif" w:hAnsi="Liberation Serif"/>
        </w:rPr>
        <w:t>H350-64, Starrluftschiff</w:t>
      </w:r>
    </w:p>
    <w:p>
      <w:pPr>
        <w:spacing w:after="80"/>
        <w:widowControl/>
      </w:pPr>
      <w:r>
        <w:rPr>
          <w:rFonts w:ascii="Liberation Sans" w:hAnsi="Liberation Sans"/>
          <w:b/>
        </w:rPr>
        <w:t xml:space="preserve">Datum: </w:t>
      </w:r>
      <w:r>
        <w:rPr>
          <w:rFonts w:ascii="Liberation Serif" w:hAnsi="Liberation Serif"/>
        </w:rPr>
        <w:t>19. September 2026</w:t>
      </w:r>
    </w:p>
    <w:p>
      <w:pPr>
        <w:spacing w:after="80"/>
        <w:widowControl/>
      </w:pPr>
      <w:r>
        <w:rPr>
          <w:rFonts w:ascii="Liberation Sans" w:hAnsi="Liberation Sans"/>
          <w:b/>
        </w:rPr>
        <w:t xml:space="preserve">Dokumentstand: </w:t>
      </w:r>
      <w:r>
        <w:rPr>
          <w:rFonts w:ascii="Liberation Serif" w:hAnsi="Liberation Serif"/>
        </w:rPr>
        <w:t>v1.3 - Theory Closure</w:t>
      </w:r>
    </w:p>
    <w:p>
      <w:pPr>
        <w:spacing w:after="80"/>
        <w:widowControl/>
      </w:pPr>
      <w:r>
        <w:rPr>
          <w:rFonts w:ascii="Liberation Sans" w:hAnsi="Liberation Sans"/>
          <w:b/>
        </w:rPr>
        <w:t xml:space="preserve">Baseline: </w:t>
      </w:r>
      <w:r>
        <w:rPr>
          <w:rFonts w:ascii="Liberation Serif" w:hAnsi="Liberation Serif"/>
        </w:rPr>
        <w:t>350 m x 64 m | 604,14 t | 48 H2-Traggaszellen | 8 elektrische Pods</w:t>
      </w:r>
    </w:p>
    <w:p>
      <w:pPr>
        <w:spacing w:after="80"/>
        <w:widowControl/>
      </w:pPr>
      <w:r>
        <w:rPr>
          <w:rFonts w:ascii="Liberation Sans" w:hAnsi="Liberation Sans"/>
          <w:b/>
        </w:rPr>
        <w:t xml:space="preserve">Energie: </w:t>
      </w:r>
      <w:r>
        <w:rPr>
          <w:rFonts w:ascii="Liberation Serif" w:hAnsi="Liberation Serif"/>
        </w:rPr>
        <w:t>2 x 4 t LH2 Brennstoff | 7 x 0,75 MW PEMFC | 1,0 MWh LFP</w:t>
      </w:r>
    </w:p>
    <w:p>
      <w:pPr>
        <w:spacing w:after="80"/>
        <w:widowControl/>
      </w:pPr>
      <w:r>
        <w:rPr>
          <w:rFonts w:ascii="Liberation Sans" w:hAnsi="Liberation Sans"/>
          <w:b/>
        </w:rPr>
        <w:t xml:space="preserve">Grundregel: </w:t>
      </w:r>
      <w:r>
        <w:rPr>
          <w:rFonts w:ascii="Liberation Serif" w:hAnsi="Liberation Serif"/>
        </w:rPr>
        <w:t>Traggas-H2 und Brennstoff-H2 sind strikt getrennt; Traggas wird nicht als Brennstoff verwendet.</w:t>
      </w:r>
    </w:p>
    <w:p>
      <w:pPr>
        <w:widowControl/>
      </w:pPr>
      <w:r>
        <w:rPr>
          <w:rFonts w:ascii="Liberation Serif" w:hAnsi="Liberation Serif"/>
        </w:rPr>
        <w:br w:type="page"/>
      </w:r>
    </w:p>
    <w:p>
      <w:pPr>
        <w:pStyle w:val="Heading1"/>
        <w:keepNext/>
        <w:widowControl/>
      </w:pPr>
      <w:r>
        <w:rPr>
          <w:rFonts w:ascii="Liberation Serif" w:hAnsi="Liberation Serif"/>
        </w:rPr>
        <w:t>Zusammenfassung</w:t>
      </w:r>
    </w:p>
    <w:p>
      <w:pPr>
        <w:spacing w:after="140" w:line="259" w:lineRule="auto"/>
        <w:widowControl/>
      </w:pPr>
      <w:r>
        <w:rPr>
          <w:rFonts w:ascii="Liberation Serif" w:hAnsi="Liberation Serif"/>
        </w:rPr>
        <w:t>Dieses Master-Paper fasst die vollständige bisherige H350-Entwicklung von v0.1 bis v1.2 in einem kontrollierten Dokument zusammen und ergänzt sie um eine neue v1.3-Theory-Closure-Kampagne. Die aktuelle Gesamtflugzeugbaseline bleibt H350-64 v1.0: 350 m Länge, 64 m Maximaldurchmesser, 604,14 t Designmasse, 27 Primärringe, 24 Longerons, 48 unabhängige Niederdruck-H2-Traggaszellen, 60 Doppelkabinen für 120 Gäste, acht elektrische 0,75-MW-Propulsoren, sieben 0,75-MW-PEM-Brennstoffzellenmodule, vier 250-kWh-LFP-Subpacks und zwei getrennte 4-t-LH2-Brennstofftanks. v1.1 friert die Post-PDR-Closure-Strategie ein; v1.2 bringt den ersten Strukturtestartikel TA-01 bis zur Development-Manufacturing-Definition.</w:t>
      </w:r>
    </w:p>
    <w:p>
      <w:pPr>
        <w:spacing w:after="140" w:line="259" w:lineRule="auto"/>
        <w:widowControl/>
      </w:pPr>
      <w:r>
        <w:rPr>
          <w:rFonts w:ascii="Liberation Serif" w:hAnsi="Liberation Serif"/>
        </w:rPr>
        <w:t>v1.3 führt zusätzliche analytische und numerische Reduced-Order-Rechnungen aus, soweit dies mit den vorhandenen Projektparametern ohne neue Material-, Hersteller- oder Versuchsdaten belastbar möglich ist. Neu behandelt werden insbesondere Hot/High-Aerostatik einschließlich Traggaszellen-Ausfällen und Niederschlagsmasse, H2-Reinheit, Mission/Produktwasser/CG, Brennstoffzellen-Modulausfälle, Batterie-Pufferzeiten, vereinfachte Pod-Ausfallhüllen, Thermal-Derates, H350-64-Broadside-Windlasten, globale Biegemoden, Rotorfrequenzabstände, 1.500-VDC-Verluste und Fault-Energy, H2-Ventilationsgrenzen, LH2-Leitungsverluste/Boil-off, Evakuierung bei blockierten Kernen sowie Fertigungs-Toleranzakkumulation. Die Rechnungen sind Screening- und Bounding-Evidenz; sie ersetzen High-Fidelity-RANS/URANS, nonlinear Shell/Solid-FEA, kryogene Zweiphasenmodelle oder physische Tests nicht.</w:t>
      </w:r>
    </w:p>
    <w:p>
      <w:pPr>
        <w:spacing w:after="140" w:line="259" w:lineRule="auto"/>
        <w:widowControl/>
      </w:pPr>
      <w:r>
        <w:rPr>
          <w:rFonts w:ascii="Liberation Serif" w:hAnsi="Liberation Serif"/>
        </w:rPr>
        <w:t>Kapitel 6 bildet die verbleibende Verifikationsarbeit als ausführliche Roadmap ab: solver-gated Analysen, 13 Hardware-/Fahrzeugtests, geeignete europäische Einrichtungen, RFQ-Eingaben, typische Vorlaufzeiten und unabhängige 2026-ROM-Kostenspannen. Die Kostenzahlen sind ausdrücklich keine Anbieterangebote. Für die Summe aller gelisteten Einzelzeilen ergibt sich rein arithmetisch ein Planungskorridor von etwa 25 bis 164 Mio. EUR mit ca. 64 Mio. EUR Basispunkt; diese Summe ist kein belastbares Programmbudget, da Alternativen und Überschneidungen enthalten sind und insbesondere Flugprototyp, neue 380 x 85 x 80-m-Integrationsinfrastruktur und Redesignkosten nicht enthalten sind.</w:t>
      </w:r>
    </w:p>
    <w:p>
      <w:pPr>
        <w:pStyle w:val="Heading1"/>
        <w:keepNext/>
        <w:widowControl/>
      </w:pPr>
      <w:r>
        <w:rPr>
          <w:rFonts w:ascii="Liberation Serif" w:hAnsi="Liberation Serif"/>
        </w:rPr>
        <w:t>Dokumentkontrolle und Evidenzhierarchie</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792"/>
            <w:shd w:fill="DCE6ED"/>
            <w:tcMar>
              <w:top w:w="90" w:type="dxa"/>
              <w:start w:w="90" w:type="dxa"/>
              <w:bottom w:w="90" w:type="dxa"/>
              <w:end w:w="90" w:type="dxa"/>
            </w:tcMar>
            <w:vAlign w:val="center"/>
          </w:tcPr>
          <w:p>
            <w:pPr>
              <w:jc w:val="center"/>
            </w:pPr>
            <w:r>
              <w:rPr>
                <w:rFonts w:ascii="Liberation Sans" w:hAnsi="Liberation Sans"/>
                <w:b/>
                <w:sz w:val="17"/>
              </w:rPr>
              <w:t>Ebene</w:t>
            </w:r>
          </w:p>
        </w:tc>
        <w:tc>
          <w:tcPr>
            <w:tcW w:type="dxa" w:w="4320"/>
            <w:shd w:fill="DCE6ED"/>
            <w:tcMar>
              <w:top w:w="90" w:type="dxa"/>
              <w:start w:w="90" w:type="dxa"/>
              <w:bottom w:w="90" w:type="dxa"/>
              <w:end w:w="90" w:type="dxa"/>
            </w:tcMar>
            <w:vAlign w:val="center"/>
          </w:tcPr>
          <w:p>
            <w:pPr>
              <w:jc w:val="center"/>
            </w:pPr>
            <w:r>
              <w:rPr>
                <w:rFonts w:ascii="Liberation Sans" w:hAnsi="Liberation Sans"/>
                <w:b/>
                <w:sz w:val="17"/>
              </w:rPr>
              <w:t>Bedeutung</w:t>
            </w:r>
          </w:p>
        </w:tc>
        <w:tc>
          <w:tcPr>
            <w:tcW w:type="dxa" w:w="4032"/>
            <w:shd w:fill="DCE6ED"/>
            <w:tcMar>
              <w:top w:w="90" w:type="dxa"/>
              <w:start w:w="90" w:type="dxa"/>
              <w:bottom w:w="90" w:type="dxa"/>
              <w:end w:w="90" w:type="dxa"/>
            </w:tcMar>
            <w:vAlign w:val="center"/>
          </w:tcPr>
          <w:p>
            <w:pPr>
              <w:jc w:val="center"/>
            </w:pPr>
            <w:r>
              <w:rPr>
                <w:rFonts w:ascii="Liberation Sans" w:hAnsi="Liberation Sans"/>
                <w:b/>
                <w:sz w:val="17"/>
              </w:rPr>
              <w:t>Status im v1.3-Master</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7"/>
              </w:rPr>
              <w:t>A</w:t>
            </w:r>
          </w:p>
        </w:tc>
        <w:tc>
          <w:tcPr>
            <w:tcW w:type="dxa" w:w="4320"/>
            <w:tcMar>
              <w:top w:w="70" w:type="dxa"/>
              <w:start w:w="80" w:type="dxa"/>
              <w:bottom w:w="70" w:type="dxa"/>
              <w:end w:w="80" w:type="dxa"/>
            </w:tcMar>
            <w:vAlign w:val="center"/>
          </w:tcPr>
          <w:p>
            <w:pPr>
              <w:spacing w:after="0" w:line="240" w:lineRule="auto"/>
              <w:jc w:val="left"/>
            </w:pPr>
            <w:r>
              <w:rPr>
                <w:rFonts w:ascii="Liberation Sans" w:hAnsi="Liberation Sans"/>
                <w:sz w:val="17"/>
              </w:rPr>
              <w:t>Mess-/Testdaten, behördlich akzeptierte Evidenz</w:t>
            </w:r>
          </w:p>
        </w:tc>
        <w:tc>
          <w:tcPr>
            <w:tcW w:type="dxa" w:w="4032"/>
            <w:tcMar>
              <w:top w:w="70" w:type="dxa"/>
              <w:start w:w="80" w:type="dxa"/>
              <w:bottom w:w="70" w:type="dxa"/>
              <w:end w:w="80" w:type="dxa"/>
            </w:tcMar>
            <w:vAlign w:val="center"/>
          </w:tcPr>
          <w:p>
            <w:pPr>
              <w:spacing w:after="0" w:line="240" w:lineRule="auto"/>
              <w:jc w:val="left"/>
            </w:pPr>
            <w:r>
              <w:rPr>
                <w:rFonts w:ascii="Liberation Sans" w:hAnsi="Liberation Sans"/>
                <w:sz w:val="17"/>
              </w:rPr>
              <w:t>Noch nicht vorhanden, außer Literatur-/Normreferenzen</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7"/>
              </w:rPr>
              <w:t>B</w:t>
            </w:r>
          </w:p>
        </w:tc>
        <w:tc>
          <w:tcPr>
            <w:tcW w:type="dxa" w:w="4320"/>
            <w:tcMar>
              <w:top w:w="70" w:type="dxa"/>
              <w:start w:w="80" w:type="dxa"/>
              <w:bottom w:w="70" w:type="dxa"/>
              <w:end w:w="80" w:type="dxa"/>
            </w:tcMar>
            <w:vAlign w:val="center"/>
            <w:shd w:fill="F7F9FA"/>
          </w:tcPr>
          <w:p>
            <w:pPr>
              <w:spacing w:after="0" w:line="240" w:lineRule="auto"/>
              <w:jc w:val="left"/>
            </w:pPr>
            <w:r>
              <w:rPr>
                <w:rFonts w:ascii="Liberation Sans" w:hAnsi="Liberation Sans"/>
                <w:sz w:val="17"/>
              </w:rPr>
              <w:t>High-Fidelity-Rechnung mit validiertem Solver, Mesh-/Konvergenznachweis</w:t>
            </w:r>
          </w:p>
        </w:tc>
        <w:tc>
          <w:tcPr>
            <w:tcW w:type="dxa" w:w="4032"/>
            <w:tcMar>
              <w:top w:w="70" w:type="dxa"/>
              <w:start w:w="80" w:type="dxa"/>
              <w:bottom w:w="70" w:type="dxa"/>
              <w:end w:w="80" w:type="dxa"/>
            </w:tcMar>
            <w:vAlign w:val="center"/>
            <w:shd w:fill="F7F9FA"/>
          </w:tcPr>
          <w:p>
            <w:pPr>
              <w:spacing w:after="0" w:line="240" w:lineRule="auto"/>
              <w:jc w:val="left"/>
            </w:pPr>
            <w:r>
              <w:rPr>
                <w:rFonts w:ascii="Liberation Sans" w:hAnsi="Liberation Sans"/>
                <w:sz w:val="17"/>
              </w:rPr>
              <w:t>Geplant / solver-gated</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7"/>
              </w:rPr>
              <w:t>C</w:t>
            </w:r>
          </w:p>
        </w:tc>
        <w:tc>
          <w:tcPr>
            <w:tcW w:type="dxa" w:w="4320"/>
            <w:tcMar>
              <w:top w:w="70" w:type="dxa"/>
              <w:start w:w="80" w:type="dxa"/>
              <w:bottom w:w="70" w:type="dxa"/>
              <w:end w:w="80" w:type="dxa"/>
            </w:tcMar>
            <w:vAlign w:val="center"/>
          </w:tcPr>
          <w:p>
            <w:pPr>
              <w:spacing w:after="0" w:line="240" w:lineRule="auto"/>
              <w:jc w:val="left"/>
            </w:pPr>
            <w:r>
              <w:rPr>
                <w:rFonts w:ascii="Liberation Sans" w:hAnsi="Liberation Sans"/>
                <w:sz w:val="17"/>
              </w:rPr>
              <w:t>Reproduzierbare Reduced-Order-/Bounding-Rechnung</w:t>
            </w:r>
          </w:p>
        </w:tc>
        <w:tc>
          <w:tcPr>
            <w:tcW w:type="dxa" w:w="4032"/>
            <w:tcMar>
              <w:top w:w="70" w:type="dxa"/>
              <w:start w:w="80" w:type="dxa"/>
              <w:bottom w:w="70" w:type="dxa"/>
              <w:end w:w="80" w:type="dxa"/>
            </w:tcMar>
            <w:vAlign w:val="center"/>
          </w:tcPr>
          <w:p>
            <w:pPr>
              <w:spacing w:after="0" w:line="240" w:lineRule="auto"/>
              <w:jc w:val="left"/>
            </w:pPr>
            <w:r>
              <w:rPr>
                <w:rFonts w:ascii="Liberation Sans" w:hAnsi="Liberation Sans"/>
                <w:sz w:val="17"/>
              </w:rPr>
              <w:t>Umfangreich vorhanden; v1.3 erweitert</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7"/>
              </w:rPr>
              <w:t>D</w:t>
            </w:r>
          </w:p>
        </w:tc>
        <w:tc>
          <w:tcPr>
            <w:tcW w:type="dxa" w:w="4320"/>
            <w:tcMar>
              <w:top w:w="70" w:type="dxa"/>
              <w:start w:w="80" w:type="dxa"/>
              <w:bottom w:w="70" w:type="dxa"/>
              <w:end w:w="80" w:type="dxa"/>
            </w:tcMar>
            <w:vAlign w:val="center"/>
            <w:shd w:fill="F7F9FA"/>
          </w:tcPr>
          <w:p>
            <w:pPr>
              <w:spacing w:after="0" w:line="240" w:lineRule="auto"/>
              <w:jc w:val="left"/>
            </w:pPr>
            <w:r>
              <w:rPr>
                <w:rFonts w:ascii="Liberation Sans" w:hAnsi="Liberation Sans"/>
                <w:sz w:val="17"/>
              </w:rPr>
              <w:t>Engineering-Annahme / Designregel</w:t>
            </w:r>
          </w:p>
        </w:tc>
        <w:tc>
          <w:tcPr>
            <w:tcW w:type="dxa" w:w="4032"/>
            <w:tcMar>
              <w:top w:w="70" w:type="dxa"/>
              <w:start w:w="80" w:type="dxa"/>
              <w:bottom w:w="70" w:type="dxa"/>
              <w:end w:w="80" w:type="dxa"/>
            </w:tcMar>
            <w:vAlign w:val="center"/>
            <w:shd w:fill="F7F9FA"/>
          </w:tcPr>
          <w:p>
            <w:pPr>
              <w:spacing w:after="0" w:line="240" w:lineRule="auto"/>
              <w:jc w:val="left"/>
            </w:pPr>
            <w:r>
              <w:rPr>
                <w:rFonts w:ascii="Liberation Sans" w:hAnsi="Liberation Sans"/>
                <w:sz w:val="17"/>
              </w:rPr>
              <w:t>Nur mit Kennzeichnung; benötigt spätere Substantiierung</w:t>
            </w:r>
          </w:p>
        </w:tc>
      </w:tr>
    </w:tbl>
    <w:p>
      <w:pPr>
        <w:spacing w:after="40"/>
        <w:widowControl/>
      </w:pPr>
    </w:p>
    <w:tbl>
      <w:tblPr>
        <w:tblW w:type="auto" w:w="0"/>
        <w:jc w:val="center"/>
        <w:tblLayout w:type="fixed"/>
        <w:tblLook w:firstColumn="1" w:firstRow="1" w:lastColumn="0" w:lastRow="0" w:noHBand="0" w:noVBand="1" w:val="04A0"/>
      </w:tblPr>
      <w:tblGrid>
        <w:gridCol w:w="9072"/>
      </w:tblGrid>
      <w:tr>
        <w:tc>
          <w:tcPr>
            <w:tcW w:type="dxa" w:w="10080"/>
            <w:shd w:fill="EAF1F5"/>
            <w:tcMar>
              <w:top w:w="120" w:type="dxa"/>
              <w:start w:w="150" w:type="dxa"/>
              <w:bottom w:w="120" w:type="dxa"/>
              <w:end w:w="150" w:type="dxa"/>
            </w:tcMar>
          </w:tcPr>
          <w:p>
            <w:r>
              <w:rPr>
                <w:b/>
                <w:color w:val="204658"/>
              </w:rPr>
              <w:t xml:space="preserve">WICHTIG  </w:t>
            </w:r>
            <w:r>
              <w:t>"Theoretisch abgeschlossen" bedeutet in diesem Dokument: Alle mit den aktuell vorhandenen, kontrollierten Projektparametern sinnvoll ausführbaren Reduced-Order- und Bounding-Rechnungen sind abgearbeitet oder als explizites Solver-Handoff spezifiziert. Es bedeutet nicht, dass jede denkbare CFD-/FEA-Rechnung ohne validierte Materialkarten, Detail-CAD, Herstellerkennfelder oder Solver-Infrastruktur bereits numerisch ausgeführt wurde.</w:t>
            </w:r>
          </w:p>
        </w:tc>
      </w:tr>
    </w:tbl>
    <w:p>
      <w:pPr>
        <w:spacing w:after="20"/>
        <w:widowControl/>
      </w:pPr>
    </w:p>
    <w:p>
      <w:pPr>
        <w:pStyle w:val="Heading1"/>
        <w:keepNext/>
        <w:widowControl/>
      </w:pPr>
      <w:r>
        <w:rPr>
          <w:rFonts w:ascii="Liberation Serif" w:hAnsi="Liberation Serif"/>
        </w:rPr>
        <w:t>Inhaltsübersicht</w:t>
      </w:r>
    </w:p>
    <w:p>
      <w:pPr>
        <w:spacing w:after="60"/>
        <w:ind w:left="259"/>
        <w:widowControl/>
      </w:pPr>
      <w:r>
        <w:rPr>
          <w:rFonts w:ascii="Liberation Serif" w:hAnsi="Liberation Serif"/>
        </w:rPr>
        <w:t>1. Ziel, Scope und Nachweisphilosophie</w:t>
      </w:r>
    </w:p>
    <w:p>
      <w:pPr>
        <w:spacing w:after="60"/>
        <w:ind w:left="259"/>
        <w:widowControl/>
      </w:pPr>
      <w:r>
        <w:rPr>
          <w:rFonts w:ascii="Liberation Serif" w:hAnsi="Liberation Serif"/>
        </w:rPr>
        <w:t>2. Entwicklungsgeschichte v0.1 bis v1.2</w:t>
      </w:r>
    </w:p>
    <w:p>
      <w:pPr>
        <w:spacing w:after="60"/>
        <w:ind w:left="259"/>
        <w:widowControl/>
      </w:pPr>
      <w:r>
        <w:rPr>
          <w:rFonts w:ascii="Liberation Serif" w:hAnsi="Liberation Serif"/>
        </w:rPr>
        <w:t>3. Authoritative H350-64 Systembaseline</w:t>
      </w:r>
    </w:p>
    <w:p>
      <w:pPr>
        <w:spacing w:after="60"/>
        <w:ind w:left="259"/>
        <w:widowControl/>
      </w:pPr>
      <w:r>
        <w:rPr>
          <w:rFonts w:ascii="Liberation Serif" w:hAnsi="Liberation Serif"/>
        </w:rPr>
        <w:t>4. Konsolidierter technischer Stand bis v1.2</w:t>
      </w:r>
    </w:p>
    <w:p>
      <w:pPr>
        <w:spacing w:after="60"/>
        <w:ind w:left="259"/>
        <w:widowControl/>
      </w:pPr>
      <w:r>
        <w:rPr>
          <w:rFonts w:ascii="Liberation Serif" w:hAnsi="Liberation Serif"/>
        </w:rPr>
        <w:t>5. v1.3 Theory Closure: zusätzliche theoretische Nachweise</w:t>
      </w:r>
    </w:p>
    <w:p>
      <w:pPr>
        <w:spacing w:after="60"/>
        <w:ind w:left="259"/>
        <w:widowControl/>
      </w:pPr>
      <w:r>
        <w:rPr>
          <w:rFonts w:ascii="Liberation Serif" w:hAnsi="Liberation Serif"/>
        </w:rPr>
        <w:t>6. Noch zu erledigen: High-Fidelity-Analysen, Tests, Anbieter, Kosten und Gate-Plan</w:t>
      </w:r>
    </w:p>
    <w:p>
      <w:pPr>
        <w:spacing w:after="60"/>
        <w:ind w:left="259"/>
        <w:widowControl/>
      </w:pPr>
      <w:r>
        <w:rPr>
          <w:rFonts w:ascii="Liberation Serif" w:hAnsi="Liberation Serif"/>
        </w:rPr>
        <w:t>7. Schlussfolgerung und nächster Entwicklungszustand</w:t>
      </w:r>
    </w:p>
    <w:p>
      <w:pPr>
        <w:spacing w:after="60"/>
        <w:ind w:left="259"/>
        <w:widowControl/>
      </w:pPr>
      <w:r>
        <w:rPr>
          <w:rFonts w:ascii="Liberation Serif" w:hAnsi="Liberation Serif"/>
        </w:rPr>
        <w:t>Anhang A: Analysis-/Testkampagnen</w:t>
      </w:r>
    </w:p>
    <w:p>
      <w:pPr>
        <w:spacing w:after="60"/>
        <w:ind w:left="259"/>
        <w:widowControl/>
      </w:pPr>
      <w:r>
        <w:rPr>
          <w:rFonts w:ascii="Liberation Serif" w:hAnsi="Liberation Serif"/>
        </w:rPr>
        <w:t>Anhang B: Anbieterregister</w:t>
      </w:r>
    </w:p>
    <w:p>
      <w:pPr>
        <w:spacing w:after="60"/>
        <w:ind w:left="259"/>
        <w:widowControl/>
      </w:pPr>
      <w:r>
        <w:rPr>
          <w:rFonts w:ascii="Liberation Serif" w:hAnsi="Liberation Serif"/>
        </w:rPr>
        <w:t>Anhang C: v1.3-Rechenartefakte</w:t>
      </w:r>
    </w:p>
    <w:p>
      <w:pPr>
        <w:spacing w:after="60"/>
        <w:ind w:left="259"/>
        <w:widowControl/>
      </w:pPr>
      <w:r>
        <w:rPr>
          <w:rFonts w:ascii="Liberation Serif" w:hAnsi="Liberation Serif"/>
        </w:rPr>
        <w:t>Anhang D: kontrollierte Zeichnungsblätter</w:t>
      </w:r>
    </w:p>
    <w:p>
      <w:pPr>
        <w:spacing w:after="60"/>
        <w:ind w:left="259"/>
        <w:widowControl/>
      </w:pPr>
      <w:r>
        <w:rPr>
          <w:rFonts w:ascii="Liberation Serif" w:hAnsi="Liberation Serif"/>
        </w:rPr>
        <w:t>Literatur und externe Referenzen</w:t>
      </w:r>
    </w:p>
    <w:p>
      <w:pPr>
        <w:widowControl/>
      </w:pPr>
      <w:r>
        <w:rPr>
          <w:rFonts w:ascii="Liberation Serif" w:hAnsi="Liberation Serif"/>
        </w:rPr>
        <w:br w:type="page"/>
      </w:r>
    </w:p>
    <w:p>
      <w:pPr>
        <w:pStyle w:val="Heading1"/>
        <w:keepNext/>
        <w:widowControl/>
      </w:pPr>
      <w:r>
        <w:rPr>
          <w:rFonts w:ascii="Liberation Serif" w:hAnsi="Liberation Serif"/>
        </w:rPr>
        <w:t>1. Ziel, Scope und Nachweisphilosophie</w:t>
      </w:r>
    </w:p>
    <w:p>
      <w:pPr>
        <w:pStyle w:val="Heading2"/>
        <w:keepNext/>
        <w:widowControl/>
      </w:pPr>
      <w:r>
        <w:rPr>
          <w:rFonts w:ascii="Liberation Serif" w:hAnsi="Liberation Serif"/>
        </w:rPr>
        <w:t>1.1 Forschungsziel</w:t>
      </w:r>
    </w:p>
    <w:p>
      <w:pPr>
        <w:spacing w:after="140" w:line="259" w:lineRule="auto"/>
        <w:widowControl/>
      </w:pPr>
      <w:r>
        <w:rPr>
          <w:rFonts w:ascii="Liberation Serif" w:hAnsi="Liberation Serif"/>
        </w:rPr>
        <w:t>Das H350-Programm untersucht die ingenieurwissenschaftliche Plausibilität eines realmaßstäblichen, 350 m langen Starrluftschiffs mit touristischer Passagiernutzung, verteiltem Elektroantrieb und Wasserstoffsystemen. Der Entwurf soll nicht durch ein einzelnes "Machbarkeitsargument" getragen werden, sondern durch eine wachsende, nachvollziehbare Evidenzkette aus Geometrie, Aerostatik, Massen, Lasten, Energie, Safety, Fertigung, Verifikation und Konfigurationskontrolle.</w:t>
      </w:r>
    </w:p>
    <w:p>
      <w:pPr>
        <w:spacing w:after="140" w:line="259" w:lineRule="auto"/>
        <w:widowControl/>
      </w:pPr>
      <w:r>
        <w:rPr>
          <w:rFonts w:ascii="Liberation Serif" w:hAnsi="Liberation Serif"/>
        </w:rPr>
        <w:t>Die zentrale Sicherheitsarchitektur trennt zwei Wasserstofffunktionen strikt. Niederdruck-H2 dient ausschließlich als Traggas in voneinander separierten Gaszellen. Für die Brennstoffzellen existiert ein eigenständiges LH2-Brennstoffsystem. Ein normaler oder Notbetrieb, der Traggas für die Energieerzeugung nutzt, ist nicht Teil der Baseline. Höhen- und Massenmanagement stützen sich auf aerodynamische Steuerung, Schubvektorierung, Wasser-/Trimmanagement und Betriebsverfahren.</w:t>
      </w:r>
    </w:p>
    <w:p>
      <w:pPr>
        <w:pStyle w:val="Heading2"/>
        <w:keepNext/>
        <w:widowControl/>
      </w:pPr>
      <w:r>
        <w:rPr>
          <w:rFonts w:ascii="Liberation Serif" w:hAnsi="Liberation Serif"/>
        </w:rPr>
        <w:t>1.2 Modellierungsgrenze</w:t>
      </w:r>
    </w:p>
    <w:p>
      <w:pPr>
        <w:spacing w:after="140" w:line="259" w:lineRule="auto"/>
        <w:widowControl/>
      </w:pPr>
      <w:r>
        <w:rPr>
          <w:rFonts w:ascii="Liberation Serif" w:hAnsi="Liberation Serif"/>
        </w:rPr>
        <w:t>Das Dokument unterscheidet bewusst zwischen mathematisch lösbar und ingenieurwissenschaftlich belastbar. Wo Eingabedaten fehlen, werden keine scheinpräzisen Material-, Brand-, Ausfall- oder Zertifizierungswerte erfunden. Stattdessen werden dimensionsrichtige Bounding-Rechnungen ausgeführt, Sensitivitäten gezeigt und die fehlenden Eingaben als Entry Gate für den nächsten Nachweisschritt registriert.</w:t>
      </w:r>
    </w:p>
    <w:p>
      <w:pPr>
        <w:pStyle w:val="Heading2"/>
        <w:keepNext/>
        <w:widowControl/>
      </w:pPr>
      <w:r>
        <w:rPr>
          <w:rFonts w:ascii="Liberation Serif" w:hAnsi="Liberation Serif"/>
        </w:rPr>
        <w:t>1.3 Aktueller Gate-Status</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1440"/>
            <w:shd w:fill="DCE6ED"/>
            <w:tcMar>
              <w:top w:w="90" w:type="dxa"/>
              <w:start w:w="90" w:type="dxa"/>
              <w:bottom w:w="90" w:type="dxa"/>
              <w:end w:w="90" w:type="dxa"/>
            </w:tcMar>
            <w:vAlign w:val="center"/>
          </w:tcPr>
          <w:p>
            <w:pPr>
              <w:jc w:val="center"/>
            </w:pPr>
            <w:r>
              <w:rPr>
                <w:rFonts w:ascii="Liberation Sans" w:hAnsi="Liberation Sans"/>
                <w:b/>
                <w:sz w:val="16"/>
              </w:rPr>
              <w:t>Gate</w:t>
            </w:r>
          </w:p>
        </w:tc>
        <w:tc>
          <w:tcPr>
            <w:tcW w:type="dxa" w:w="1440"/>
            <w:shd w:fill="DCE6ED"/>
            <w:tcMar>
              <w:top w:w="90" w:type="dxa"/>
              <w:start w:w="90" w:type="dxa"/>
              <w:bottom w:w="90" w:type="dxa"/>
              <w:end w:w="90" w:type="dxa"/>
            </w:tcMar>
            <w:vAlign w:val="center"/>
          </w:tcPr>
          <w:p>
            <w:pPr>
              <w:jc w:val="center"/>
            </w:pPr>
            <w:r>
              <w:rPr>
                <w:rFonts w:ascii="Liberation Sans" w:hAnsi="Liberation Sans"/>
                <w:b/>
                <w:sz w:val="16"/>
              </w:rPr>
              <w:t>Stand</w:t>
            </w:r>
          </w:p>
        </w:tc>
        <w:tc>
          <w:tcPr>
            <w:tcW w:type="dxa" w:w="6192"/>
            <w:shd w:fill="DCE6ED"/>
            <w:tcMar>
              <w:top w:w="90" w:type="dxa"/>
              <w:start w:w="90" w:type="dxa"/>
              <w:bottom w:w="90" w:type="dxa"/>
              <w:end w:w="90" w:type="dxa"/>
            </w:tcMar>
            <w:vAlign w:val="center"/>
          </w:tcPr>
          <w:p>
            <w:pPr>
              <w:jc w:val="center"/>
            </w:pPr>
            <w:r>
              <w:rPr>
                <w:rFonts w:ascii="Liberation Sans" w:hAnsi="Liberation Sans"/>
                <w:b/>
                <w:sz w:val="16"/>
              </w:rPr>
              <w:t>Bedeutung</w:t>
            </w:r>
          </w:p>
        </w:tc>
      </w:tr>
      <w:tr>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PDR-01 bis PDR-09</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MET</w:t>
            </w:r>
          </w:p>
        </w:tc>
        <w:tc>
          <w:tcPr>
            <w:tcW w:type="dxa" w:w="6192"/>
            <w:tcMar>
              <w:top w:w="70" w:type="dxa"/>
              <w:start w:w="80" w:type="dxa"/>
              <w:bottom w:w="70" w:type="dxa"/>
              <w:end w:w="80" w:type="dxa"/>
            </w:tcMar>
            <w:vAlign w:val="center"/>
          </w:tcPr>
          <w:p>
            <w:pPr>
              <w:spacing w:after="0" w:line="240" w:lineRule="auto"/>
              <w:jc w:val="left"/>
            </w:pPr>
            <w:r>
              <w:rPr>
                <w:rFonts w:ascii="Liberation Sans" w:hAnsi="Liberation Sans"/>
                <w:sz w:val="16"/>
              </w:rPr>
              <w:t>Konfiguration, Requirements, Interfaces, Masse/CG, Loads, FHA/FMEA, Risiken, Verifikationsplan und Fertigungskonzept sind als Preliminary-Design-Basis definiert.</w:t>
            </w:r>
          </w:p>
        </w:tc>
      </w:tr>
      <w:tr>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PDR-10</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OPEN</w:t>
            </w:r>
          </w:p>
        </w:tc>
        <w:tc>
          <w:tcPr>
            <w:tcW w:type="dxa" w:w="619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Zertifizierungsbasis ist noch nicht mit der zuständigen Behörde vereinbart.</w:t>
            </w:r>
          </w:p>
        </w:tc>
      </w:tr>
      <w:tr>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PDR-11</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OPEN</w:t>
            </w:r>
          </w:p>
        </w:tc>
        <w:tc>
          <w:tcPr>
            <w:tcW w:type="dxa" w:w="6192"/>
            <w:tcMar>
              <w:top w:w="70" w:type="dxa"/>
              <w:start w:w="80" w:type="dxa"/>
              <w:bottom w:w="70" w:type="dxa"/>
              <w:end w:w="80" w:type="dxa"/>
            </w:tcMar>
            <w:vAlign w:val="center"/>
          </w:tcPr>
          <w:p>
            <w:pPr>
              <w:spacing w:after="0" w:line="240" w:lineRule="auto"/>
              <w:jc w:val="left"/>
            </w:pPr>
            <w:r>
              <w:rPr>
                <w:rFonts w:ascii="Liberation Sans" w:hAnsi="Liberation Sans"/>
                <w:sz w:val="16"/>
              </w:rPr>
              <w:t>High-Fidelity RANS/URANS und Shell/Solid-FEA sind spezifiziert, aber nicht extern ausgeführt.</w:t>
            </w:r>
          </w:p>
        </w:tc>
      </w:tr>
      <w:tr>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PDR-12</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OPEN</w:t>
            </w:r>
          </w:p>
        </w:tc>
        <w:tc>
          <w:tcPr>
            <w:tcW w:type="dxa" w:w="619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Kritische Hardware-/Safety-Tests sind definiert, aber physisch nicht ausgeführt.</w:t>
            </w:r>
          </w:p>
        </w:tc>
      </w:tr>
      <w:tr>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TCG-1 v1.3</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MET - project internal</w:t>
            </w:r>
          </w:p>
        </w:tc>
        <w:tc>
          <w:tcPr>
            <w:tcW w:type="dxa" w:w="6192"/>
            <w:tcMar>
              <w:top w:w="70" w:type="dxa"/>
              <w:start w:w="80" w:type="dxa"/>
              <w:bottom w:w="70" w:type="dxa"/>
              <w:end w:w="80" w:type="dxa"/>
            </w:tcMar>
            <w:vAlign w:val="center"/>
          </w:tcPr>
          <w:p>
            <w:pPr>
              <w:spacing w:after="0" w:line="240" w:lineRule="auto"/>
              <w:jc w:val="left"/>
            </w:pPr>
            <w:r>
              <w:rPr>
                <w:rFonts w:ascii="Liberation Sans" w:hAnsi="Liberation Sans"/>
                <w:sz w:val="16"/>
              </w:rPr>
              <w:t>Reduced-Order-/Bounding-Theorie mit vorhandenen Daten ist bis zur definierten Erkenntnisgrenze abgearbeitet.</w:t>
            </w:r>
          </w:p>
        </w:tc>
      </w:tr>
    </w:tbl>
    <w:p>
      <w:pPr>
        <w:spacing w:after="40"/>
        <w:widowControl/>
      </w:pPr>
    </w:p>
    <w:p>
      <w:pPr>
        <w:pStyle w:val="Heading1"/>
        <w:keepNext/>
        <w:widowControl/>
      </w:pPr>
      <w:r>
        <w:rPr>
          <w:rFonts w:ascii="Liberation Serif" w:hAnsi="Liberation Serif"/>
        </w:rPr>
        <w:t>2. Entwicklungsgeschichte v0.1 bis v1.2</w:t>
      </w:r>
    </w:p>
    <w:p>
      <w:pPr>
        <w:spacing w:after="140" w:line="259" w:lineRule="auto"/>
        <w:widowControl/>
      </w:pPr>
      <w:r>
        <w:rPr>
          <w:rFonts w:ascii="Liberation Serif" w:hAnsi="Liberation Serif"/>
        </w:rPr>
        <w:t>Die Versionen v0.1 bis v1.2 sind keine voneinander unabhängigen Konzepte. Jede Version ersetzt oder präzisiert Teile des vorherigen Stands. Der v1.3-Master bewahrt die Historie, verwendet für aktuelle Zahlen aber grundsätzlich die jüngste kontrollierte Evidenz.</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792"/>
            <w:shd w:fill="DCE6ED"/>
            <w:tcMar>
              <w:top w:w="90" w:type="dxa"/>
              <w:start w:w="90" w:type="dxa"/>
              <w:bottom w:w="90" w:type="dxa"/>
              <w:end w:w="90" w:type="dxa"/>
            </w:tcMar>
            <w:vAlign w:val="center"/>
          </w:tcPr>
          <w:p>
            <w:pPr>
              <w:jc w:val="center"/>
            </w:pPr>
            <w:r>
              <w:rPr>
                <w:rFonts w:ascii="Liberation Sans" w:hAnsi="Liberation Sans"/>
                <w:b/>
                <w:sz w:val="15"/>
              </w:rPr>
              <w:t>Version</w:t>
            </w:r>
          </w:p>
        </w:tc>
        <w:tc>
          <w:tcPr>
            <w:tcW w:type="dxa" w:w="1152"/>
            <w:shd w:fill="DCE6ED"/>
            <w:tcMar>
              <w:top w:w="90" w:type="dxa"/>
              <w:start w:w="90" w:type="dxa"/>
              <w:bottom w:w="90" w:type="dxa"/>
              <w:end w:w="90" w:type="dxa"/>
            </w:tcMar>
            <w:vAlign w:val="center"/>
          </w:tcPr>
          <w:p>
            <w:pPr>
              <w:jc w:val="center"/>
            </w:pPr>
            <w:r>
              <w:rPr>
                <w:rFonts w:ascii="Liberation Sans" w:hAnsi="Liberation Sans"/>
                <w:b/>
                <w:sz w:val="15"/>
              </w:rPr>
              <w:t>Datum</w:t>
            </w:r>
          </w:p>
        </w:tc>
        <w:tc>
          <w:tcPr>
            <w:tcW w:type="dxa" w:w="1440"/>
            <w:shd w:fill="DCE6ED"/>
            <w:tcMar>
              <w:top w:w="90" w:type="dxa"/>
              <w:start w:w="90" w:type="dxa"/>
              <w:bottom w:w="90" w:type="dxa"/>
              <w:end w:w="90" w:type="dxa"/>
            </w:tcMar>
            <w:vAlign w:val="center"/>
          </w:tcPr>
          <w:p>
            <w:pPr>
              <w:jc w:val="center"/>
            </w:pPr>
            <w:r>
              <w:rPr>
                <w:rFonts w:ascii="Liberation Sans" w:hAnsi="Liberation Sans"/>
                <w:b/>
                <w:sz w:val="15"/>
              </w:rPr>
              <w:t>Konfiguration</w:t>
            </w:r>
          </w:p>
        </w:tc>
        <w:tc>
          <w:tcPr>
            <w:tcW w:type="dxa" w:w="5688"/>
            <w:shd w:fill="DCE6ED"/>
            <w:tcMar>
              <w:top w:w="90" w:type="dxa"/>
              <w:start w:w="90" w:type="dxa"/>
              <w:bottom w:w="90" w:type="dxa"/>
              <w:end w:w="90" w:type="dxa"/>
            </w:tcMar>
            <w:vAlign w:val="center"/>
          </w:tcPr>
          <w:p>
            <w:pPr>
              <w:jc w:val="center"/>
            </w:pPr>
            <w:r>
              <w:rPr>
                <w:rFonts w:ascii="Liberation Sans" w:hAnsi="Liberation Sans"/>
                <w:b/>
                <w:sz w:val="15"/>
              </w:rPr>
              <w:t>Hauptfortschritt</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v0.1</w:t>
            </w:r>
          </w:p>
        </w:tc>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5"/>
              </w:rPr>
              <w:t>17.09.2026</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5"/>
              </w:rPr>
              <w:t>H350-60</w:t>
            </w:r>
          </w:p>
        </w:tc>
        <w:tc>
          <w:tcPr>
            <w:tcW w:type="dxa" w:w="5688"/>
            <w:tcMar>
              <w:top w:w="70" w:type="dxa"/>
              <w:start w:w="80" w:type="dxa"/>
              <w:bottom w:w="70" w:type="dxa"/>
              <w:end w:w="80" w:type="dxa"/>
            </w:tcMar>
            <w:vAlign w:val="center"/>
          </w:tcPr>
          <w:p>
            <w:pPr>
              <w:spacing w:after="0" w:line="240" w:lineRule="auto"/>
              <w:jc w:val="left"/>
            </w:pPr>
            <w:r>
              <w:rPr>
                <w:rFonts w:ascii="Liberation Sans" w:hAnsi="Liberation Sans"/>
                <w:sz w:val="15"/>
              </w:rPr>
              <w:t>Erster konsistenter realmaßstäblicher Vorentwurf; 350 m Länge; Wasserstoff-Traggas; strikte Traggas/Brennstoff-Trennung; elektrische Pods; Mass-, Auftriebs- und Safety-Grundarchitektur.</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v0.2</w:t>
            </w:r>
          </w:p>
        </w:tc>
        <w:tc>
          <w:tcPr>
            <w:tcW w:type="dxa" w:w="115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17.09.2026</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H350-62</w:t>
            </w:r>
          </w:p>
        </w:tc>
        <w:tc>
          <w:tcPr>
            <w:tcW w:type="dxa" w:w="568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Durchmessertrade auf 62 m; 48 Gaszellen; 60 Kabinen; 27 Ringe/24 Longerons; CG-/Trim-/Bodenfüllgradmodell; 8 t getrenntes LH2 als Energieträger.</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v0.3</w:t>
            </w:r>
          </w:p>
        </w:tc>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5"/>
              </w:rPr>
              <w:t>17.09.2026</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5"/>
              </w:rPr>
              <w:t>H350-62</w:t>
            </w:r>
          </w:p>
        </w:tc>
        <w:tc>
          <w:tcPr>
            <w:tcW w:type="dxa" w:w="5688"/>
            <w:tcMar>
              <w:top w:w="70" w:type="dxa"/>
              <w:start w:w="80" w:type="dxa"/>
              <w:bottom w:w="70" w:type="dxa"/>
              <w:end w:w="80" w:type="dxa"/>
            </w:tcMar>
            <w:vAlign w:val="center"/>
          </w:tcPr>
          <w:p>
            <w:pPr>
              <w:spacing w:after="0" w:line="240" w:lineRule="auto"/>
              <w:jc w:val="left"/>
            </w:pPr>
            <w:r>
              <w:rPr>
                <w:rFonts w:ascii="Liberation Sans" w:hAnsi="Liberation Sans"/>
                <w:sz w:val="15"/>
              </w:rPr>
              <w:t>Gemeinsames 3D-Mastermodell, Massen-/Trägheitsmodell, Beam-FEM, 6-DOF-Screenings, feste Pod-/Tankpositionen, Missions-/Wasserbilanz.</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v0.4</w:t>
            </w:r>
          </w:p>
        </w:tc>
        <w:tc>
          <w:tcPr>
            <w:tcW w:type="dxa" w:w="115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17.09.2026</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H350-62</w:t>
            </w:r>
          </w:p>
        </w:tc>
        <w:tc>
          <w:tcPr>
            <w:tcW w:type="dxa" w:w="568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CFD-ready Multi-Body-Geometrie, Added Mass, lokale FE-Ersatzmodelle, Mooring-Wind, LH2-Thermal, H2-Dispersion, Evakuierungs-Monte-Carlo.</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v0.5</w:t>
            </w:r>
          </w:p>
        </w:tc>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5"/>
              </w:rPr>
              <w:t>17.09.2026</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5"/>
              </w:rPr>
              <w:t>H350-62</w:t>
            </w:r>
          </w:p>
        </w:tc>
        <w:tc>
          <w:tcPr>
            <w:tcW w:type="dxa" w:w="5688"/>
            <w:tcMar>
              <w:top w:w="70" w:type="dxa"/>
              <w:start w:w="80" w:type="dxa"/>
              <w:bottom w:w="70" w:type="dxa"/>
              <w:end w:w="80" w:type="dxa"/>
            </w:tcMar>
            <w:vAlign w:val="center"/>
          </w:tcPr>
          <w:p>
            <w:pPr>
              <w:spacing w:after="0" w:line="240" w:lineRule="auto"/>
              <w:jc w:val="left"/>
            </w:pPr>
            <w:r>
              <w:rPr>
                <w:rFonts w:ascii="Liberation Sans" w:hAnsi="Liberation Sans"/>
                <w:sz w:val="15"/>
              </w:rPr>
              <w:t>Aerodynamischer Drag Build-up, BEMT/Propeller-Screening, Leistungs- und Interaktionsvertiefung.</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v0.6</w:t>
            </w:r>
          </w:p>
        </w:tc>
        <w:tc>
          <w:tcPr>
            <w:tcW w:type="dxa" w:w="115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17.09.2026</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H350-64</w:t>
            </w:r>
          </w:p>
        </w:tc>
        <w:tc>
          <w:tcPr>
            <w:tcW w:type="dxa" w:w="568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Durchmesser-Freeze 64 m; Ground Handling mit Weather-Vaning; aktualisierte BEMT; PEMFC-Thermalmanagement; 603,4-t-Klasse.</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v0.7</w:t>
            </w:r>
          </w:p>
        </w:tc>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5"/>
              </w:rPr>
              <w:t>17.09.2026</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5"/>
              </w:rPr>
              <w:t>H350-64</w:t>
            </w:r>
          </w:p>
        </w:tc>
        <w:tc>
          <w:tcPr>
            <w:tcW w:type="dxa" w:w="5688"/>
            <w:tcMar>
              <w:top w:w="70" w:type="dxa"/>
              <w:start w:w="80" w:type="dxa"/>
              <w:bottom w:w="70" w:type="dxa"/>
              <w:end w:w="80" w:type="dxa"/>
            </w:tcMar>
            <w:vAlign w:val="center"/>
          </w:tcPr>
          <w:p>
            <w:pPr>
              <w:spacing w:after="0" w:line="240" w:lineRule="auto"/>
              <w:jc w:val="left"/>
            </w:pPr>
            <w:r>
              <w:rPr>
                <w:rFonts w:ascii="Liberation Sans" w:hAnsi="Liberation Sans"/>
                <w:sz w:val="15"/>
              </w:rPr>
              <w:t>1,0-MWh-LFP-Batterie physisch auf Subpacks verteilt; Ground-Dynamics; 10-m-Propellertrade; Hot-Day-Monte-Carlo; lokale Strukturscreens.</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v0.8</w:t>
            </w:r>
          </w:p>
        </w:tc>
        <w:tc>
          <w:tcPr>
            <w:tcW w:type="dxa" w:w="115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17.09.2026</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H350-64</w:t>
            </w:r>
          </w:p>
        </w:tc>
        <w:tc>
          <w:tcPr>
            <w:tcW w:type="dxa" w:w="568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Bemaßte Systemarchitektur; CFRP-Boxquerschnitte; Hardpoint-Loadpaths; dualer 1.500-VDC-Bus; LH2/GH2/Vent-Routing; General Arrangement.</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v0.9</w:t>
            </w:r>
          </w:p>
        </w:tc>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5"/>
              </w:rPr>
              <w:t>17.09.2026</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5"/>
              </w:rPr>
              <w:t>H350-64</w:t>
            </w:r>
          </w:p>
        </w:tc>
        <w:tc>
          <w:tcPr>
            <w:tcW w:type="dxa" w:w="5688"/>
            <w:tcMar>
              <w:top w:w="70" w:type="dxa"/>
              <w:start w:w="80" w:type="dxa"/>
              <w:bottom w:w="70" w:type="dxa"/>
              <w:end w:w="80" w:type="dxa"/>
            </w:tcMar>
            <w:vAlign w:val="center"/>
          </w:tcPr>
          <w:p>
            <w:pPr>
              <w:spacing w:after="0" w:line="240" w:lineRule="auto"/>
              <w:jc w:val="left"/>
            </w:pPr>
            <w:r>
              <w:rPr>
                <w:rFonts w:ascii="Liberation Sans" w:hAnsi="Liberation Sans"/>
                <w:sz w:val="15"/>
              </w:rPr>
              <w:t>Laminat-/Hardpoint-Screening; geometrisch nichtlineares Panel; LH2-Relief; HV-Kurzschluss/Sectionalizing; 3D-Keep-outs; modulare Fertigung.</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v1.0</w:t>
            </w:r>
          </w:p>
        </w:tc>
        <w:tc>
          <w:tcPr>
            <w:tcW w:type="dxa" w:w="115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18.09.2026</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H350-64 PDR</w:t>
            </w:r>
          </w:p>
        </w:tc>
        <w:tc>
          <w:tcPr>
            <w:tcW w:type="dxa" w:w="568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Conditional PDR baseline freeze; 65 Requirements; 34 Load Cases; FHA/FMEA; 10 ICDs; CFD/FEA-/Hardware-Testprogramm; Risiko-/Action-Register.</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v1.1</w:t>
            </w:r>
          </w:p>
        </w:tc>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5"/>
              </w:rPr>
              <w:t>18.09.2026</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5"/>
              </w:rPr>
              <w:t>Post-PDR</w:t>
            </w:r>
          </w:p>
        </w:tc>
        <w:tc>
          <w:tcPr>
            <w:tcW w:type="dxa" w:w="5688"/>
            <w:tcMar>
              <w:top w:w="70" w:type="dxa"/>
              <w:start w:w="80" w:type="dxa"/>
              <w:bottom w:w="70" w:type="dxa"/>
              <w:end w:w="80" w:type="dxa"/>
            </w:tcMar>
            <w:vAlign w:val="center"/>
          </w:tcPr>
          <w:p>
            <w:pPr>
              <w:spacing w:after="0" w:line="240" w:lineRule="auto"/>
              <w:jc w:val="left"/>
            </w:pPr>
            <w:r>
              <w:rPr>
                <w:rFonts w:ascii="Liberation Sans" w:hAnsi="Liberation Sans"/>
                <w:sz w:val="15"/>
              </w:rPr>
              <w:t>P0-Closure-Strategie und vier priorisierte Testartikel TA-01 bis TA-04; Konfiguration und Flugmasse unverändert.</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v1.2</w:t>
            </w:r>
          </w:p>
        </w:tc>
        <w:tc>
          <w:tcPr>
            <w:tcW w:type="dxa" w:w="115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18.09.2026</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TA-01</w:t>
            </w:r>
          </w:p>
        </w:tc>
        <w:tc>
          <w:tcPr>
            <w:tcW w:type="dxa" w:w="568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Ringknoten/Hardpoint-Testartikel bis Manufacturing-Definition, BOM, Fixture, Instrumentierung, 42 Witness Coupons und 12 Prüfphasen.</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v1.3</w:t>
            </w:r>
          </w:p>
        </w:tc>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5"/>
              </w:rPr>
              <w:t>19.09.2026</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5"/>
              </w:rPr>
              <w:t>Theory Closure</w:t>
            </w:r>
          </w:p>
        </w:tc>
        <w:tc>
          <w:tcPr>
            <w:tcW w:type="dxa" w:w="5688"/>
            <w:tcMar>
              <w:top w:w="70" w:type="dxa"/>
              <w:start w:w="80" w:type="dxa"/>
              <w:bottom w:w="70" w:type="dxa"/>
              <w:end w:w="80" w:type="dxa"/>
            </w:tcMar>
            <w:vAlign w:val="center"/>
          </w:tcPr>
          <w:p>
            <w:pPr>
              <w:spacing w:after="0" w:line="240" w:lineRule="auto"/>
              <w:jc w:val="left"/>
            </w:pPr>
            <w:r>
              <w:rPr>
                <w:rFonts w:ascii="Liberation Sans" w:hAnsi="Liberation Sans"/>
                <w:sz w:val="15"/>
              </w:rPr>
              <w:t>Master-Konsolidierung + zusätzliche theoretische Reduced-Order-/Bounding-Analysen + ausführliche externe Verifikations-/Kostenroadmap.</w:t>
            </w:r>
          </w:p>
        </w:tc>
      </w:tr>
    </w:tbl>
    <w:p>
      <w:pPr>
        <w:spacing w:after="40"/>
        <w:widowControl/>
      </w:pPr>
    </w:p>
    <w:tbl>
      <w:tblPr>
        <w:tblW w:type="auto" w:w="0"/>
        <w:jc w:val="center"/>
        <w:tblLayout w:type="fixed"/>
        <w:tblLook w:firstColumn="1" w:firstRow="1" w:lastColumn="0" w:lastRow="0" w:noHBand="0" w:noVBand="1" w:val="04A0"/>
      </w:tblPr>
      <w:tblGrid>
        <w:gridCol w:w="9072"/>
      </w:tblGrid>
      <w:tr>
        <w:tc>
          <w:tcPr>
            <w:tcW w:type="dxa" w:w="10080"/>
            <w:shd w:fill="EAF1F5"/>
            <w:tcMar>
              <w:top w:w="120" w:type="dxa"/>
              <w:start w:w="150" w:type="dxa"/>
              <w:bottom w:w="120" w:type="dxa"/>
              <w:end w:w="150" w:type="dxa"/>
            </w:tcMar>
          </w:tcPr>
          <w:p>
            <w:r>
              <w:rPr>
                <w:b/>
                <w:color w:val="204658"/>
              </w:rPr>
              <w:t xml:space="preserve">SUPERSEDED-REGEL  </w:t>
            </w:r>
            <w:r>
              <w:t>Historische Werte wie 60/62 m Durchmesser, 557,5 t Massenbudget oder frühere Batterie-/PEMFC-Auslegungen bleiben als Entwurfsweg dokumentiert, dürfen aber nicht als aktuelle H350-64-Freeze-Werte verwendet werden.</w:t>
            </w:r>
          </w:p>
        </w:tc>
      </w:tr>
    </w:tbl>
    <w:p>
      <w:pPr>
        <w:spacing w:after="20"/>
        <w:widowControl/>
      </w:pPr>
    </w:p>
    <w:p>
      <w:pPr>
        <w:pStyle w:val="Heading1"/>
        <w:keepNext/>
        <w:widowControl/>
      </w:pPr>
      <w:r>
        <w:rPr>
          <w:rFonts w:ascii="Liberation Serif" w:hAnsi="Liberation Serif"/>
        </w:rPr>
        <w:t>3. Authoritative H350-64 Systembaseline</w:t>
      </w:r>
    </w:p>
    <w:p>
      <w:pPr>
        <w:pStyle w:val="Heading2"/>
        <w:keepNext/>
        <w:widowControl/>
      </w:pPr>
      <w:r>
        <w:rPr>
          <w:rFonts w:ascii="Liberation Serif" w:hAnsi="Liberation Serif"/>
        </w:rPr>
        <w:t>3.1 Kernparameter</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304"/>
            <w:shd w:fill="DCE6ED"/>
            <w:tcMar>
              <w:top w:w="90" w:type="dxa"/>
              <w:start w:w="90" w:type="dxa"/>
              <w:bottom w:w="90" w:type="dxa"/>
              <w:end w:w="90" w:type="dxa"/>
            </w:tcMar>
            <w:vAlign w:val="center"/>
          </w:tcPr>
          <w:p>
            <w:pPr>
              <w:jc w:val="center"/>
            </w:pPr>
            <w:r>
              <w:rPr>
                <w:rFonts w:ascii="Liberation Sans" w:hAnsi="Liberation Sans"/>
                <w:b/>
                <w:sz w:val="16"/>
              </w:rPr>
              <w:t>Parameter</w:t>
            </w:r>
          </w:p>
        </w:tc>
        <w:tc>
          <w:tcPr>
            <w:tcW w:type="dxa" w:w="3888"/>
            <w:shd w:fill="DCE6ED"/>
            <w:tcMar>
              <w:top w:w="90" w:type="dxa"/>
              <w:start w:w="90" w:type="dxa"/>
              <w:bottom w:w="90" w:type="dxa"/>
              <w:end w:w="90" w:type="dxa"/>
            </w:tcMar>
            <w:vAlign w:val="center"/>
          </w:tcPr>
          <w:p>
            <w:pPr>
              <w:jc w:val="center"/>
            </w:pPr>
            <w:r>
              <w:rPr>
                <w:rFonts w:ascii="Liberation Sans" w:hAnsi="Liberation Sans"/>
                <w:b/>
                <w:sz w:val="16"/>
              </w:rPr>
              <w:t>Freeze-/Arbeitswert</w:t>
            </w:r>
          </w:p>
        </w:tc>
        <w:tc>
          <w:tcPr>
            <w:tcW w:type="dxa" w:w="2880"/>
            <w:shd w:fill="DCE6ED"/>
            <w:tcMar>
              <w:top w:w="90" w:type="dxa"/>
              <w:start w:w="90" w:type="dxa"/>
              <w:bottom w:w="90" w:type="dxa"/>
              <w:end w:w="90" w:type="dxa"/>
            </w:tcMar>
            <w:vAlign w:val="center"/>
          </w:tcPr>
          <w:p>
            <w:pPr>
              <w:jc w:val="center"/>
            </w:pPr>
            <w:r>
              <w:rPr>
                <w:rFonts w:ascii="Liberation Sans" w:hAnsi="Liberation Sans"/>
                <w:b/>
                <w:sz w:val="16"/>
              </w:rPr>
              <w:t>Evidenzstand</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Gesamtlänge</w:t>
            </w:r>
          </w:p>
        </w:tc>
        <w:tc>
          <w:tcPr>
            <w:tcW w:type="dxa" w:w="3888"/>
            <w:tcMar>
              <w:top w:w="70" w:type="dxa"/>
              <w:start w:w="80" w:type="dxa"/>
              <w:bottom w:w="70" w:type="dxa"/>
              <w:end w:w="80" w:type="dxa"/>
            </w:tcMar>
            <w:vAlign w:val="center"/>
          </w:tcPr>
          <w:p>
            <w:pPr>
              <w:spacing w:after="0" w:line="240" w:lineRule="auto"/>
              <w:jc w:val="left"/>
            </w:pPr>
            <w:r>
              <w:rPr>
                <w:rFonts w:ascii="Liberation Sans" w:hAnsi="Liberation Sans"/>
                <w:sz w:val="16"/>
              </w:rPr>
              <w:t>350 m</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v1.0 freeze</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Maximaldurchmesser</w:t>
            </w:r>
          </w:p>
        </w:tc>
        <w:tc>
          <w:tcPr>
            <w:tcW w:type="dxa" w:w="38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64 m</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v0.6/v1.0 freeze</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Hüllenvolumen</w:t>
            </w:r>
          </w:p>
        </w:tc>
        <w:tc>
          <w:tcPr>
            <w:tcW w:type="dxa" w:w="3888"/>
            <w:tcMar>
              <w:top w:w="70" w:type="dxa"/>
              <w:start w:w="80" w:type="dxa"/>
              <w:bottom w:w="70" w:type="dxa"/>
              <w:end w:w="80" w:type="dxa"/>
            </w:tcMar>
            <w:vAlign w:val="center"/>
          </w:tcPr>
          <w:p>
            <w:pPr>
              <w:spacing w:after="0" w:line="240" w:lineRule="auto"/>
              <w:jc w:val="left"/>
            </w:pPr>
            <w:r>
              <w:rPr>
                <w:rFonts w:ascii="Liberation Sans" w:hAnsi="Liberation Sans"/>
                <w:sz w:val="16"/>
              </w:rPr>
              <w:t>ca. 699.524 m3</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v0.6+, v1.3 numerisch 699.530 m3</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Benetzte Fläche</w:t>
            </w:r>
          </w:p>
        </w:tc>
        <w:tc>
          <w:tcPr>
            <w:tcW w:type="dxa" w:w="38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ca. 53.283 m2</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v0.8/v1.3</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Designmasse</w:t>
            </w:r>
          </w:p>
        </w:tc>
        <w:tc>
          <w:tcPr>
            <w:tcW w:type="dxa" w:w="3888"/>
            <w:tcMar>
              <w:top w:w="70" w:type="dxa"/>
              <w:start w:w="80" w:type="dxa"/>
              <w:bottom w:w="70" w:type="dxa"/>
              <w:end w:w="80" w:type="dxa"/>
            </w:tcMar>
            <w:vAlign w:val="center"/>
          </w:tcPr>
          <w:p>
            <w:pPr>
              <w:spacing w:after="0" w:line="240" w:lineRule="auto"/>
              <w:jc w:val="left"/>
            </w:pPr>
            <w:r>
              <w:rPr>
                <w:rFonts w:ascii="Liberation Sans" w:hAnsi="Liberation Sans"/>
                <w:sz w:val="16"/>
              </w:rPr>
              <w:t>604,14 t</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v1.0 freeze</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Entwicklungsreserve</w:t>
            </w:r>
          </w:p>
        </w:tc>
        <w:tc>
          <w:tcPr>
            <w:tcW w:type="dxa" w:w="38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47,42 t</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v1.0 freeze</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Schwerpunkt</w:t>
            </w:r>
          </w:p>
        </w:tc>
        <w:tc>
          <w:tcPr>
            <w:tcW w:type="dxa" w:w="3888"/>
            <w:tcMar>
              <w:top w:w="70" w:type="dxa"/>
              <w:start w:w="80" w:type="dxa"/>
              <w:bottom w:w="70" w:type="dxa"/>
              <w:end w:w="80" w:type="dxa"/>
            </w:tcMar>
            <w:vAlign w:val="center"/>
          </w:tcPr>
          <w:p>
            <w:pPr>
              <w:spacing w:after="0" w:line="240" w:lineRule="auto"/>
              <w:jc w:val="left"/>
            </w:pPr>
            <w:r>
              <w:rPr>
                <w:rFonts w:ascii="Liberation Sans" w:hAnsi="Liberation Sans"/>
                <w:sz w:val="16"/>
              </w:rPr>
              <w:t>x = 174,99 m; z = -2,87 m</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v1.0 freeze</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Primärstruktur</w:t>
            </w:r>
          </w:p>
        </w:tc>
        <w:tc>
          <w:tcPr>
            <w:tcW w:type="dxa" w:w="38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27 Primärringe / 24 Longerons / 26 Sekundärhoops</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v1.0</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Traggas</w:t>
            </w:r>
          </w:p>
        </w:tc>
        <w:tc>
          <w:tcPr>
            <w:tcW w:type="dxa" w:w="3888"/>
            <w:tcMar>
              <w:top w:w="70" w:type="dxa"/>
              <w:start w:w="80" w:type="dxa"/>
              <w:bottom w:w="70" w:type="dxa"/>
              <w:end w:w="80" w:type="dxa"/>
            </w:tcMar>
            <w:vAlign w:val="center"/>
          </w:tcPr>
          <w:p>
            <w:pPr>
              <w:spacing w:after="0" w:line="240" w:lineRule="auto"/>
              <w:jc w:val="left"/>
            </w:pPr>
            <w:r>
              <w:rPr>
                <w:rFonts w:ascii="Liberation Sans" w:hAnsi="Liberation Sans"/>
                <w:sz w:val="16"/>
              </w:rPr>
              <w:t>48 unabhängige Niederdruck-H2-Zellen</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v1.0</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Passagierlayout</w:t>
            </w:r>
          </w:p>
        </w:tc>
        <w:tc>
          <w:tcPr>
            <w:tcW w:type="dxa" w:w="38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60 Doppelkabinen / 120 Gäste / 10 Evakuierungskerne</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v1.0</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Propulsion</w:t>
            </w:r>
          </w:p>
        </w:tc>
        <w:tc>
          <w:tcPr>
            <w:tcW w:type="dxa" w:w="3888"/>
            <w:tcMar>
              <w:top w:w="70" w:type="dxa"/>
              <w:start w:w="80" w:type="dxa"/>
              <w:bottom w:w="70" w:type="dxa"/>
              <w:end w:w="80" w:type="dxa"/>
            </w:tcMar>
            <w:vAlign w:val="center"/>
          </w:tcPr>
          <w:p>
            <w:pPr>
              <w:spacing w:after="0" w:line="240" w:lineRule="auto"/>
              <w:jc w:val="left"/>
            </w:pPr>
            <w:r>
              <w:rPr>
                <w:rFonts w:ascii="Liberation Sans" w:hAnsi="Liberation Sans"/>
                <w:sz w:val="16"/>
              </w:rPr>
              <w:t>8 x 0,75 MW elektrische Pods</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v1.0</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PEMFC</w:t>
            </w:r>
          </w:p>
        </w:tc>
        <w:tc>
          <w:tcPr>
            <w:tcW w:type="dxa" w:w="38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7 x 0,75 MW = 5,25 MW installiert</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v1.0</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Batterie</w:t>
            </w:r>
          </w:p>
        </w:tc>
        <w:tc>
          <w:tcPr>
            <w:tcW w:type="dxa" w:w="3888"/>
            <w:tcMar>
              <w:top w:w="70" w:type="dxa"/>
              <w:start w:w="80" w:type="dxa"/>
              <w:bottom w:w="70" w:type="dxa"/>
              <w:end w:w="80" w:type="dxa"/>
            </w:tcMar>
            <w:vAlign w:val="center"/>
          </w:tcPr>
          <w:p>
            <w:pPr>
              <w:spacing w:after="0" w:line="240" w:lineRule="auto"/>
              <w:jc w:val="left"/>
            </w:pPr>
            <w:r>
              <w:rPr>
                <w:rFonts w:ascii="Liberation Sans" w:hAnsi="Liberation Sans"/>
                <w:sz w:val="16"/>
              </w:rPr>
              <w:t>4 x 250 kWh LFP = 1,0 MWh nominal / 0,8 MWh nutzbar</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v0.7-v1.0</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HV</w:t>
            </w:r>
          </w:p>
        </w:tc>
        <w:tc>
          <w:tcPr>
            <w:tcW w:type="dxa" w:w="38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zwei segmentierte 1.500-VDC-Längsbusse</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v1.0</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Brennstoff</w:t>
            </w:r>
          </w:p>
        </w:tc>
        <w:tc>
          <w:tcPr>
            <w:tcW w:type="dxa" w:w="3888"/>
            <w:tcMar>
              <w:top w:w="70" w:type="dxa"/>
              <w:start w:w="80" w:type="dxa"/>
              <w:bottom w:w="70" w:type="dxa"/>
              <w:end w:w="80" w:type="dxa"/>
            </w:tcMar>
            <w:vAlign w:val="center"/>
          </w:tcPr>
          <w:p>
            <w:pPr>
              <w:spacing w:after="0" w:line="240" w:lineRule="auto"/>
              <w:jc w:val="left"/>
            </w:pPr>
            <w:r>
              <w:rPr>
                <w:rFonts w:ascii="Liberation Sans" w:hAnsi="Liberation Sans"/>
                <w:sz w:val="16"/>
              </w:rPr>
              <w:t>2 x 4 t LH2, getrennt vom Traggas</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v1.0</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Thermal</w:t>
            </w:r>
          </w:p>
        </w:tc>
        <w:tc>
          <w:tcPr>
            <w:tcW w:type="dxa" w:w="38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 x 1,05 MWth Kühlmodule als v0.7/v1.3-Screening</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v0.7/v1.3</w:t>
            </w:r>
          </w:p>
        </w:tc>
      </w:tr>
    </w:tbl>
    <w:p>
      <w:pPr>
        <w:spacing w:after="40"/>
        <w:widowControl/>
      </w:pPr>
    </w:p>
    <w:p>
      <w:pPr>
        <w:pStyle w:val="Heading2"/>
        <w:keepNext/>
        <w:widowControl/>
      </w:pPr>
      <w:r>
        <w:rPr>
          <w:rFonts w:ascii="Liberation Serif" w:hAnsi="Liberation Serif"/>
        </w:rPr>
        <w:t>3.2 Struktur- und Fertigungsbaseline</w:t>
      </w:r>
    </w:p>
    <w:p>
      <w:pPr>
        <w:spacing w:after="140" w:line="259" w:lineRule="auto"/>
        <w:widowControl/>
      </w:pPr>
      <w:r>
        <w:rPr>
          <w:rFonts w:ascii="Liberation Serif" w:hAnsi="Liberation Serif"/>
        </w:rPr>
        <w:t>Die v0.8/v0.9-Struktur verwendet 500 x 280 x 4-mm-CFRP-Boxlongerons, primäre Ringstrukturen und sekundäre Anti-Buckling-Hoops. Der explizite v0.9-Laminat-Screen liefert für den verwendeten Projektlagenplan eine axiale Ersatzsteifigkeit Ex von etwa 68,9 GPa. Der 6,25-m-Panel-Ersatzversuch ergab im geometrisch nichtlinearen Stabmodell 6,97 mm maximale Knotenverschiebung und 236,5 kN maximale Longeron-Kompression. Dies ist ein Lastpfadnachweis auf Screeningniveau, kein Shell-/Solid-FEM- oder Materialallowables-Nachweis.</w:t>
      </w:r>
    </w:p>
    <w:p>
      <w:pPr>
        <w:spacing w:after="140" w:line="259" w:lineRule="auto"/>
        <w:widowControl/>
      </w:pPr>
      <w:r>
        <w:rPr>
          <w:rFonts w:ascii="Liberation Serif" w:hAnsi="Liberation Serif"/>
        </w:rPr>
        <w:t>Die Fertigungsarchitektur zerlegt die 27 Primärringe in 648 Sektoren, die 26 Sekundärhoops in 624 Sektoren und die 24 Longerons in 1.248 Segmente. Die Whole-Ship-Integration wurde als frühe Facility-Hülle von etwa 380 x 85 x 80 m abgeschätzt. v1.3 zählt daraus rund 2.496 große Segment-/Splice-Joints; diese Zahl begründet die hohe Bedeutung von Jigs, Metrologie, NDI, digitalem Configuration Management und wiederholbaren Bond-/Fastener-Prozessen.</w:t>
      </w:r>
    </w:p>
    <w:p>
      <w:pPr>
        <w:pStyle w:val="Heading2"/>
        <w:keepNext/>
        <w:widowControl/>
      </w:pPr>
      <w:r>
        <w:rPr>
          <w:rFonts w:ascii="Liberation Serif" w:hAnsi="Liberation Serif"/>
        </w:rPr>
        <w:t>3.3 Energie- und Wasserstoffarchitektur</w:t>
      </w:r>
    </w:p>
    <w:p>
      <w:pPr>
        <w:spacing w:after="140" w:line="259" w:lineRule="auto"/>
        <w:widowControl/>
      </w:pPr>
      <w:r>
        <w:rPr>
          <w:rFonts w:ascii="Liberation Serif" w:hAnsi="Liberation Serif"/>
        </w:rPr>
        <w:t>Das Energiesystem nutzt ausschließlich das separate 8-t-LH2-System als Brennstoffquelle für die PEMFC. Die 48 Traggaszellen sind weder Speichertank noch Reservebrennstoff. Die Batterie ist ein Leistungs- und Sicherheitsbuffer für Peak Shaving, Black Start, Lastsprünge und kontrollierte Notleistung, nicht der primäre Missionsenergiespeicher.</w:t>
      </w:r>
    </w:p>
    <w:p>
      <w:pPr>
        <w:spacing w:after="140" w:line="259" w:lineRule="auto"/>
        <w:widowControl/>
      </w:pPr>
      <w:r>
        <w:rPr>
          <w:rFonts w:ascii="Liberation Serif" w:hAnsi="Liberation Serif"/>
        </w:rPr>
        <w:t>v0.9 ersetzt den frühen einzelnen 80-mm-Emergency-Ventansatz durch zwei unabhängige 100-mm-Emergency-Riser je 4-t-Tank plus separaten 50-mm-Normal-BOG-Pfad. Im einphasigen Choked-Gas-Screen liegt die Kapazität beider 100-mm-Riser zusammen bei 8,79 kg/s; beim definierten 10-kW/m2-Wärmeeintrag ergab sich eine Screening-Margin von 4,68. Zweiphasenflashing, reale Ventilkennfelder, Druckverluste, Backpressure und Tanktransienten bleiben Test-/High-Fidelity-Gates.</w:t>
      </w:r>
    </w:p>
    <w:p>
      <w:pPr>
        <w:pStyle w:val="Heading2"/>
        <w:keepNext/>
        <w:widowControl/>
      </w:pPr>
      <w:r>
        <w:rPr>
          <w:rFonts w:ascii="Liberation Serif" w:hAnsi="Liberation Serif"/>
        </w:rPr>
        <w:t>3.4 Requirements, Safety und Configuration Control</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016"/>
            <w:shd w:fill="DCE6ED"/>
            <w:tcMar>
              <w:top w:w="90" w:type="dxa"/>
              <w:start w:w="90" w:type="dxa"/>
              <w:bottom w:w="90" w:type="dxa"/>
              <w:end w:w="90" w:type="dxa"/>
            </w:tcMar>
            <w:vAlign w:val="center"/>
          </w:tcPr>
          <w:p>
            <w:pPr>
              <w:jc w:val="center"/>
            </w:pPr>
            <w:r>
              <w:rPr>
                <w:rFonts w:ascii="Liberation Sans" w:hAnsi="Liberation Sans"/>
                <w:b/>
                <w:sz w:val="16"/>
              </w:rPr>
              <w:t>Register</w:t>
            </w:r>
          </w:p>
        </w:tc>
        <w:tc>
          <w:tcPr>
            <w:tcW w:type="dxa" w:w="1800"/>
            <w:shd w:fill="DCE6ED"/>
            <w:tcMar>
              <w:top w:w="90" w:type="dxa"/>
              <w:start w:w="90" w:type="dxa"/>
              <w:bottom w:w="90" w:type="dxa"/>
              <w:end w:w="90" w:type="dxa"/>
            </w:tcMar>
            <w:vAlign w:val="center"/>
          </w:tcPr>
          <w:p>
            <w:pPr>
              <w:jc w:val="center"/>
            </w:pPr>
            <w:r>
              <w:rPr>
                <w:rFonts w:ascii="Liberation Sans" w:hAnsi="Liberation Sans"/>
                <w:b/>
                <w:sz w:val="16"/>
              </w:rPr>
              <w:t>Umfang</w:t>
            </w:r>
          </w:p>
        </w:tc>
        <w:tc>
          <w:tcPr>
            <w:tcW w:type="dxa" w:w="5256"/>
            <w:shd w:fill="DCE6ED"/>
            <w:tcMar>
              <w:top w:w="90" w:type="dxa"/>
              <w:start w:w="90" w:type="dxa"/>
              <w:bottom w:w="90" w:type="dxa"/>
              <w:end w:w="90" w:type="dxa"/>
            </w:tcMar>
            <w:vAlign w:val="center"/>
          </w:tcPr>
          <w:p>
            <w:pPr>
              <w:jc w:val="center"/>
            </w:pPr>
            <w:r>
              <w:rPr>
                <w:rFonts w:ascii="Liberation Sans" w:hAnsi="Liberation Sans"/>
                <w:b/>
                <w:sz w:val="16"/>
              </w:rPr>
              <w:t>Kommentar</w:t>
            </w:r>
          </w:p>
        </w:tc>
      </w:tr>
      <w:tr>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Requirements</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6"/>
              </w:rPr>
              <w:t>65</w:t>
            </w:r>
          </w:p>
        </w:tc>
        <w:tc>
          <w:tcPr>
            <w:tcW w:type="dxa" w:w="5256"/>
            <w:tcMar>
              <w:top w:w="70" w:type="dxa"/>
              <w:start w:w="80" w:type="dxa"/>
              <w:bottom w:w="70" w:type="dxa"/>
              <w:end w:w="80" w:type="dxa"/>
            </w:tcMar>
            <w:vAlign w:val="center"/>
          </w:tcPr>
          <w:p>
            <w:pPr>
              <w:spacing w:after="0" w:line="240" w:lineRule="auto"/>
              <w:jc w:val="left"/>
            </w:pPr>
            <w:r>
              <w:rPr>
                <w:rFonts w:ascii="Liberation Sans" w:hAnsi="Liberation Sans"/>
                <w:sz w:val="16"/>
              </w:rPr>
              <w:t>18 CLOSED_PDR / 34 PARTIAL / 13 OPEN</w:t>
            </w:r>
          </w:p>
        </w:tc>
      </w:tr>
      <w:tr>
        <w:tc>
          <w:tcPr>
            <w:tcW w:type="dxa" w:w="201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Load Cases</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34</w:t>
            </w:r>
          </w:p>
        </w:tc>
        <w:tc>
          <w:tcPr>
            <w:tcW w:type="dxa" w:w="52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Aerostatik, Flug, Böen, Pod-Ausfälle, Mooring, Struktur, H2/LH2, Batterie/HV, Thermal, Cabin Fire, Lightning, Proof</w:t>
            </w:r>
          </w:p>
        </w:tc>
      </w:tr>
      <w:tr>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FHA</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6"/>
              </w:rPr>
              <w:t>22 Failure Conditions</w:t>
            </w:r>
          </w:p>
        </w:tc>
        <w:tc>
          <w:tcPr>
            <w:tcW w:type="dxa" w:w="5256"/>
            <w:tcMar>
              <w:top w:w="70" w:type="dxa"/>
              <w:start w:w="80" w:type="dxa"/>
              <w:bottom w:w="70" w:type="dxa"/>
              <w:end w:w="80" w:type="dxa"/>
            </w:tcMar>
            <w:vAlign w:val="center"/>
          </w:tcPr>
          <w:p>
            <w:pPr>
              <w:spacing w:after="0" w:line="240" w:lineRule="auto"/>
              <w:jc w:val="left"/>
            </w:pPr>
            <w:r>
              <w:rPr>
                <w:rFonts w:ascii="Liberation Sans" w:hAnsi="Liberation Sans"/>
                <w:sz w:val="16"/>
              </w:rPr>
              <w:t>Preliminary; keine SSA</w:t>
            </w:r>
          </w:p>
        </w:tc>
      </w:tr>
      <w:tr>
        <w:tc>
          <w:tcPr>
            <w:tcW w:type="dxa" w:w="201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FMEA</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30 Zeilen</w:t>
            </w:r>
          </w:p>
        </w:tc>
        <w:tc>
          <w:tcPr>
            <w:tcW w:type="dxa" w:w="52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Komponenten-/Fahrzeugwirkung, Detection, Design Control</w:t>
            </w:r>
          </w:p>
        </w:tc>
      </w:tr>
      <w:tr>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ICDs</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6"/>
              </w:rPr>
              <w:t>10</w:t>
            </w:r>
          </w:p>
        </w:tc>
        <w:tc>
          <w:tcPr>
            <w:tcW w:type="dxa" w:w="5256"/>
            <w:tcMar>
              <w:top w:w="70" w:type="dxa"/>
              <w:start w:w="80" w:type="dxa"/>
              <w:bottom w:w="70" w:type="dxa"/>
              <w:end w:w="80" w:type="dxa"/>
            </w:tcMar>
            <w:vAlign w:val="center"/>
          </w:tcPr>
          <w:p>
            <w:pPr>
              <w:spacing w:after="0" w:line="240" w:lineRule="auto"/>
              <w:jc w:val="left"/>
            </w:pPr>
            <w:r>
              <w:rPr>
                <w:rFonts w:ascii="Liberation Sans" w:hAnsi="Liberation Sans"/>
                <w:sz w:val="16"/>
              </w:rPr>
              <w:t>Kontrollierte Subsystem-Interfaces</w:t>
            </w:r>
          </w:p>
        </w:tc>
      </w:tr>
      <w:tr>
        <w:tc>
          <w:tcPr>
            <w:tcW w:type="dxa" w:w="201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Top Risks</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w:t>
            </w:r>
          </w:p>
        </w:tc>
        <w:tc>
          <w:tcPr>
            <w:tcW w:type="dxa" w:w="52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Ground Handling, LH2 fire/relief, H2 ignition, composites, battery, thermal, aero, controls, evacuation, industrialisation</w:t>
            </w:r>
          </w:p>
        </w:tc>
      </w:tr>
      <w:tr>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CFD/URANS</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6"/>
              </w:rPr>
              <w:t>15 Cases</w:t>
            </w:r>
          </w:p>
        </w:tc>
        <w:tc>
          <w:tcPr>
            <w:tcW w:type="dxa" w:w="5256"/>
            <w:tcMar>
              <w:top w:w="70" w:type="dxa"/>
              <w:start w:w="80" w:type="dxa"/>
              <w:bottom w:w="70" w:type="dxa"/>
              <w:end w:w="80" w:type="dxa"/>
            </w:tcMar>
            <w:vAlign w:val="center"/>
          </w:tcPr>
          <w:p>
            <w:pPr>
              <w:spacing w:after="0" w:line="240" w:lineRule="auto"/>
              <w:jc w:val="left"/>
            </w:pPr>
            <w:r>
              <w:rPr>
                <w:rFonts w:ascii="Liberation Sans" w:hAnsi="Liberation Sans"/>
                <w:sz w:val="16"/>
              </w:rPr>
              <w:t>Solver-ready, nicht ausgeführt</w:t>
            </w:r>
          </w:p>
        </w:tc>
      </w:tr>
      <w:tr>
        <w:tc>
          <w:tcPr>
            <w:tcW w:type="dxa" w:w="201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FEA</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 Cases</w:t>
            </w:r>
          </w:p>
        </w:tc>
        <w:tc>
          <w:tcPr>
            <w:tcW w:type="dxa" w:w="52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Solver-ready, nicht ausgeführt</w:t>
            </w:r>
          </w:p>
        </w:tc>
      </w:tr>
      <w:tr>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Hardware/Vehicle Tests</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6"/>
              </w:rPr>
              <w:t>13</w:t>
            </w:r>
          </w:p>
        </w:tc>
        <w:tc>
          <w:tcPr>
            <w:tcW w:type="dxa" w:w="5256"/>
            <w:tcMar>
              <w:top w:w="70" w:type="dxa"/>
              <w:start w:w="80" w:type="dxa"/>
              <w:bottom w:w="70" w:type="dxa"/>
              <w:end w:w="80" w:type="dxa"/>
            </w:tcMar>
            <w:vAlign w:val="center"/>
          </w:tcPr>
          <w:p>
            <w:pPr>
              <w:spacing w:after="0" w:line="240" w:lineRule="auto"/>
              <w:jc w:val="left"/>
            </w:pPr>
            <w:r>
              <w:rPr>
                <w:rFonts w:ascii="Liberation Sans" w:hAnsi="Liberation Sans"/>
                <w:sz w:val="16"/>
              </w:rPr>
              <w:t>Coupon bis Flight Test</w:t>
            </w:r>
          </w:p>
        </w:tc>
      </w:tr>
    </w:tbl>
    <w:p>
      <w:pPr>
        <w:spacing w:after="40"/>
        <w:widowControl/>
      </w:pPr>
    </w:p>
    <w:p>
      <w:pPr>
        <w:pStyle w:val="Heading1"/>
        <w:keepNext/>
        <w:widowControl/>
      </w:pPr>
      <w:r>
        <w:rPr>
          <w:rFonts w:ascii="Liberation Serif" w:hAnsi="Liberation Serif"/>
        </w:rPr>
        <w:t>4. Konsolidierter technischer Stand bis v1.2</w:t>
      </w:r>
    </w:p>
    <w:p>
      <w:pPr>
        <w:pStyle w:val="Heading2"/>
        <w:keepNext/>
        <w:widowControl/>
      </w:pPr>
      <w:r>
        <w:rPr>
          <w:rFonts w:ascii="Liberation Serif" w:hAnsi="Liberation Serif"/>
        </w:rPr>
        <w:t>4.1 Aerostatik und Hot-Day-Reserve</w:t>
      </w:r>
    </w:p>
    <w:p>
      <w:pPr>
        <w:spacing w:after="140" w:line="259" w:lineRule="auto"/>
        <w:widowControl/>
      </w:pPr>
      <w:r>
        <w:rPr>
          <w:rFonts w:ascii="Liberation Serif" w:hAnsi="Liberation Serif"/>
        </w:rPr>
        <w:t>Der 64-m-Durchmesser wurde gewählt, nachdem die 62/63-m-Varianten unter aktualisierten Systemmassen die projektinterne Hot-Day-Reserve nicht mehr robust hielten. v0.7 ergänzte ein Monte-Carlo-Screening: bei 50 °C lag die mediane aerostatische Reserve bei etwa 15,0 t; 98,9 % der 30.000 Stichproben blieben positiv, während mindestens 10 t Reserve in 77,5 % erreicht wurden. v1.3 ergänzt diese probabilistische Sicht um deterministische Hot/High-, Zellverlust- und Niederschlagsgrenzen.</w:t>
      </w:r>
    </w:p>
    <w:p>
      <w:pPr>
        <w:pStyle w:val="Heading2"/>
        <w:keepNext/>
        <w:widowControl/>
      </w:pPr>
      <w:r>
        <w:rPr>
          <w:rFonts w:ascii="Liberation Serif" w:hAnsi="Liberation Serif"/>
        </w:rPr>
        <w:t>4.2 Aerodynamik und Propulsion</w:t>
      </w:r>
    </w:p>
    <w:p>
      <w:pPr>
        <w:spacing w:after="140" w:line="259" w:lineRule="auto"/>
        <w:widowControl/>
      </w:pPr>
      <w:r>
        <w:rPr>
          <w:rFonts w:ascii="Liberation Serif" w:hAnsi="Liberation Serif"/>
        </w:rPr>
        <w:t>Der kontrollierte Reduced-Order-Widerstand liegt bei 100 km/h in der H350-64-Baseline bei etwa 79 kN. Der v0.7-Propellertrade priorisierte einen 10-m-/6-Blatt-Propeller; der Screening-Arbeitspunkt lag bei etwa 396 kW Wellenleistung je Pod und rund 41,3 kN statischem Schub. Interaktion zwischen Hülle, Pods, Leitwerk und großen Propellern bleibt einer MRF-/Actuator-Disk-RANS-Kampagne und Windkanalkorrelation vorbehalten.</w:t>
      </w:r>
    </w:p>
    <w:p>
      <w:pPr>
        <w:pStyle w:val="Heading2"/>
        <w:keepNext/>
        <w:widowControl/>
      </w:pPr>
      <w:r>
        <w:rPr>
          <w:rFonts w:ascii="Liberation Serif" w:hAnsi="Liberation Serif"/>
        </w:rPr>
        <w:t>4.3 Ground Handling</w:t>
      </w:r>
    </w:p>
    <w:p>
      <w:pPr>
        <w:spacing w:after="140" w:line="259" w:lineRule="auto"/>
        <w:widowControl/>
      </w:pPr>
      <w:r>
        <w:rPr>
          <w:rFonts w:ascii="Liberation Serif" w:hAnsi="Liberation Serif"/>
        </w:rPr>
        <w:t>Broadside-Mooring ist für ein 350-m-Luftschiff ein dominanter Lasttreiber. Das Konzept wurde deshalb in v0.6 auf einen niedrig gehaltenen, frei gierenden Mast mit Weather-Vaning und gelenkten Bodenwagen umgestellt. Ein kontrollierter, nahezu ausgerichteter Zustand reduziert die effektive Seitenlast im Screening drastisch. Der 20-m/s-Broadside-Fall bleibt bewusst als abnormaler/emergency Load Case im Register und darf nicht zum Normalbetriebsfall umetikettiert werden.</w:t>
      </w:r>
    </w:p>
    <w:p>
      <w:pPr>
        <w:pStyle w:val="Heading2"/>
        <w:keepNext/>
        <w:widowControl/>
      </w:pPr>
      <w:r>
        <w:rPr>
          <w:rFonts w:ascii="Liberation Serif" w:hAnsi="Liberation Serif"/>
        </w:rPr>
        <w:t>4.4 Hochvolt und Batterie</w:t>
      </w:r>
    </w:p>
    <w:p>
      <w:pPr>
        <w:spacing w:after="140" w:line="259" w:lineRule="auto"/>
        <w:widowControl/>
      </w:pPr>
      <w:r>
        <w:rPr>
          <w:rFonts w:ascii="Liberation Serif" w:hAnsi="Liberation Serif"/>
        </w:rPr>
        <w:t>Die Batterie besteht aus vier räumlich getrennten LFP-Subpacks. Der duale 1.500-VDC-Bus wird in vier Schutzsektionen je Längsbus segmentiert. Für einen repräsentativen Busfehler ergab v0.9 einen prospektiven Strom von etwa 30,47 kA und bei 3 ms primärer Clearing-Zeit eine einfache V*I*t-Quellenenergie-Obergrenze von 137 kJ. Diese Größe ist kein Arc-Flash-Incident-Energy-Nachweis für Personen.</w:t>
      </w:r>
    </w:p>
    <w:p>
      <w:pPr>
        <w:pStyle w:val="Heading2"/>
        <w:keepNext/>
        <w:widowControl/>
      </w:pPr>
      <w:r>
        <w:rPr>
          <w:rFonts w:ascii="Liberation Serif" w:hAnsi="Liberation Serif"/>
        </w:rPr>
        <w:t>4.5 TA-01 v1.2</w:t>
      </w:r>
    </w:p>
    <w:p>
      <w:pPr>
        <w:spacing w:after="140" w:line="259" w:lineRule="auto"/>
        <w:widowControl/>
      </w:pPr>
      <w:r>
        <w:rPr>
          <w:rFonts w:ascii="Liberation Serif" w:hAnsi="Liberation Serif"/>
        </w:rPr>
        <w:t>TA-01 ist der erste v1.1-Hardwareartikel, der bis zu einer Development-Manufacturing-Definition heruntergebrochen wurde. Er bildet den 500 x 280 x 4-mm-Longeron, lokalen Ringtruss-Kontext und den 25-mm-Hardpoint ab. Die geschätzte Artikelmasse beträgt 90,8 kg. Das Release enthält BOM, 2-Blatt-A3-Zeichnung, vereinfachte 3D-Layouts, dreiachsiges Fixture, Instrumentierung, 42 Witness Coupons, 12 Prüfphasen und 10 Akzeptanzkriterien. Release-Status: MANUFACTURING_DEFINITION_READY, nicht physisch getestet und keine Flughardware.</w:t>
      </w:r>
    </w:p>
    <w:p>
      <w:pPr>
        <w:pStyle w:val="Heading1"/>
        <w:keepNext/>
        <w:widowControl/>
      </w:pPr>
      <w:r>
        <w:rPr>
          <w:rFonts w:ascii="Liberation Serif" w:hAnsi="Liberation Serif"/>
        </w:rPr>
        <w:t>5. v1.3 Theory Closure: zusätzliche theoretische Nachweise</w:t>
      </w:r>
    </w:p>
    <w:tbl>
      <w:tblPr>
        <w:tblW w:type="auto" w:w="0"/>
        <w:jc w:val="center"/>
        <w:tblLayout w:type="fixed"/>
        <w:tblLook w:firstColumn="1" w:firstRow="1" w:lastColumn="0" w:lastRow="0" w:noHBand="0" w:noVBand="1" w:val="04A0"/>
      </w:tblPr>
      <w:tblGrid>
        <w:gridCol w:w="9072"/>
      </w:tblGrid>
      <w:tr>
        <w:tc>
          <w:tcPr>
            <w:tcW w:type="dxa" w:w="10080"/>
            <w:shd w:fill="EAF1F5"/>
            <w:tcMar>
              <w:top w:w="120" w:type="dxa"/>
              <w:start w:w="150" w:type="dxa"/>
              <w:bottom w:w="120" w:type="dxa"/>
              <w:end w:w="150" w:type="dxa"/>
            </w:tcMar>
          </w:tcPr>
          <w:p>
            <w:r>
              <w:rPr>
                <w:b/>
                <w:color w:val="204658"/>
              </w:rPr>
              <w:t xml:space="preserve">THEORY-CLOSURE-REGEL  </w:t>
            </w:r>
            <w:r>
              <w:t>Jede folgende Zahl ist entweder ein reproduzierbares Reduced-Order-/Bounding-Ergebnis oder ausdrücklich eine Sensitivität. Sie wird nicht in einen Zertifizierungs- oder Bauwert umetikettiert. Wo Detaildaten fehlen, endet die Rechnung mit einem klaren Gate statt mit erfundenen Eingabewerten.</w:t>
            </w:r>
          </w:p>
        </w:tc>
      </w:tr>
    </w:tbl>
    <w:p>
      <w:pPr>
        <w:spacing w:after="20"/>
        <w:widowControl/>
      </w:pPr>
    </w:p>
    <w:p>
      <w:pPr>
        <w:pStyle w:val="Heading2"/>
        <w:keepNext/>
        <w:widowControl/>
      </w:pPr>
      <w:r>
        <w:rPr>
          <w:rFonts w:ascii="Liberation Serif" w:hAnsi="Liberation Serif"/>
        </w:rPr>
        <w:t>5.1 Geometrische Reproduktion</w:t>
      </w:r>
    </w:p>
    <w:p>
      <w:pPr>
        <w:spacing w:after="140" w:line="259" w:lineRule="auto"/>
        <w:widowControl/>
      </w:pPr>
      <w:r>
        <w:rPr>
          <w:rFonts w:ascii="Liberation Serif" w:hAnsi="Liberation Serif"/>
        </w:rPr>
        <w:t>Die analytische v1.3-Hüllenfunktion reproduziert ein Volumen von 699.530 m3 gegenüber dem kontrollierten Referenzwert 699.524 m3. Die numerisch integrierte benetzte Fläche beträgt 53.284 m2 gegenüber 53.283 m2. Die Abweichungen sind für einen unabhängigen Rechenlauf vernachlässigbar und bestätigen die Geometriekonsistenz der Reduced-Order-Kette.</w:t>
      </w:r>
    </w:p>
    <w:p>
      <w:pPr>
        <w:pStyle w:val="Heading2"/>
        <w:keepNext/>
        <w:widowControl/>
      </w:pPr>
      <w:r>
        <w:rPr>
          <w:rFonts w:ascii="Liberation Serif" w:hAnsi="Liberation Serif"/>
        </w:rPr>
        <w:t>5.2 Hot/High-Aerostatik, Zellausfall und Reinheit</w:t>
      </w:r>
    </w:p>
    <w:p>
      <w:pPr>
        <w:spacing w:after="140" w:line="259" w:lineRule="auto"/>
        <w:widowControl/>
      </w:pPr>
      <w:r>
        <w:rPr>
          <w:rFonts w:ascii="Liberation Serif" w:hAnsi="Liberation Serif"/>
        </w:rPr>
        <w:t>Die v1.3-Aerostatik nutzt ISA-Druck, ideales Gas, 250 Pa Zellüberdruck und 99,5 % H2 als konservativen Basisscreen. Bei 604,14 t benötigt das Fahrzeug am Meeresspiegel ungefähr 81,46 % Hüllvolumen bei 35 °C und 85,42 % bei 50 °C. Gegen die maximale projektinterne Zellzuweisung von 88 % bleiben damit nur 6,54 bzw. 2,58 Prozentpunkte Kapazitätsreserve.</w:t>
      </w:r>
    </w:p>
    <w:p>
      <w:pPr>
        <w:jc w:val="center"/>
        <w:widowControl/>
      </w:pPr>
      <w:r>
        <w:rPr>
          <w:rFonts w:ascii="Liberation Serif" w:hAnsi="Liberation Serif"/>
        </w:rPr>
        <w:drawing>
          <wp:inline xmlns:a="http://schemas.openxmlformats.org/drawingml/2006/main" xmlns:pic="http://schemas.openxmlformats.org/drawingml/2006/picture">
            <wp:extent cx="5623560" cy="3551722"/>
            <wp:docPr id="1" name="Picture 1"/>
            <wp:cNvGraphicFramePr>
              <a:graphicFrameLocks noChangeAspect="1"/>
            </wp:cNvGraphicFramePr>
            <a:graphic>
              <a:graphicData uri="http://schemas.openxmlformats.org/drawingml/2006/picture">
                <pic:pic>
                  <pic:nvPicPr>
                    <pic:cNvPr id="0" name="max_pressure_altitude.png"/>
                    <pic:cNvPicPr/>
                  </pic:nvPicPr>
                  <pic:blipFill>
                    <a:blip r:embed="rId11"/>
                    <a:stretch>
                      <a:fillRect/>
                    </a:stretch>
                  </pic:blipFill>
                  <pic:spPr>
                    <a:xfrm>
                      <a:off x="0" y="0"/>
                      <a:ext cx="5623560" cy="3551722"/>
                    </a:xfrm>
                    <a:prstGeom prst="rect"/>
                  </pic:spPr>
                </pic:pic>
              </a:graphicData>
            </a:graphic>
          </wp:inline>
        </w:drawing>
      </w:r>
    </w:p>
    <w:p>
      <w:pPr>
        <w:spacing w:after="120"/>
        <w:jc w:val="center"/>
        <w:widowControl/>
      </w:pPr>
      <w:r>
        <w:rPr>
          <w:rFonts w:ascii="Liberation Serif" w:hAnsi="Liberation Serif"/>
          <w:b/>
          <w:color w:val="505050"/>
          <w:sz w:val="18"/>
        </w:rPr>
        <w:t>Abbildung 1: Deterministische v1.3-Druckhöhen-Grenze als Funktion von Temperatur und ausgefallenen Traggaszellen.</w:t>
      </w:r>
    </w:p>
    <w:p>
      <w:pPr>
        <w:spacing w:after="140" w:line="259" w:lineRule="auto"/>
        <w:widowControl/>
      </w:pPr>
      <w:r>
        <w:rPr>
          <w:rFonts w:ascii="Liberation Serif" w:hAnsi="Liberation Serif"/>
        </w:rPr>
        <w:t>Besonders relevant ist die Kopplung mit der Druckhöhe: ohne Zellausfall liegt die rechnerische 88-%-Kapazitätsgrenze bei etwa 647 m Druckhöhe für 35 °C und nur rund 250 m für 50 °C. Mit einer nicht verfügbaren von 48 Zellen sinkt sie auf etwa 472 m bei 35 °C und rund 73 m bei 50 °C. Zwei nicht verfügbare Zellen begrenzen den Meeresspiegel-Hot-Day-Screen bereits auf ungefähr 45,9 °C. Diese Werte machen Hot/High-Dispatch und Zellverfügbarkeitsregeln zu einem expliziten Operations-/Design-Trade.</w:t>
      </w:r>
    </w:p>
    <w:p>
      <w:pPr>
        <w:spacing w:after="140" w:line="259" w:lineRule="auto"/>
        <w:widowControl/>
      </w:pPr>
      <w:r>
        <w:rPr>
          <w:rFonts w:ascii="Liberation Serif" w:hAnsi="Liberation Serif"/>
        </w:rPr>
        <w:t>Die H2-Reinheit ist ebenfalls nicht beliebig. Im 50-°C-Screen sinkt die Kapazitätsreserve bei 99,5 % H2 auf 2,58 Prozentpunkte, bei 98 % auf etwa 1,27 Punkte; ein hypothetischer 95-%-Wert würde die 88-%-Kapazitätsgrenze bereits überschreiten. Das ist kein Reinheitsspezifikations-Nachweis, zeigt aber, dass reale Purity-/Feuchte-/Kontaminationsdaten in den späteren Dispatch- und Füllalgorithmus gehören.</w:t>
      </w:r>
    </w:p>
    <w:tbl>
      <w:tblPr>
        <w:tblW w:type="auto" w:w="0"/>
        <w:jc w:val="center"/>
        <w:tblLayout w:type="fixed"/>
        <w:tblLook w:firstColumn="1" w:firstRow="1" w:lastColumn="0" w:lastRow="0" w:noHBand="0" w:noVBand="1" w:val="04A0"/>
      </w:tblPr>
      <w:tblGrid>
        <w:gridCol w:w="9072"/>
      </w:tblGrid>
      <w:tr>
        <w:tc>
          <w:tcPr>
            <w:tcW w:type="dxa" w:w="10080"/>
            <w:shd w:fill="EAF1F5"/>
            <w:tcMar>
              <w:top w:w="120" w:type="dxa"/>
              <w:start w:w="150" w:type="dxa"/>
              <w:bottom w:w="120" w:type="dxa"/>
              <w:end w:w="150" w:type="dxa"/>
            </w:tcMar>
          </w:tcPr>
          <w:p>
            <w:r>
              <w:rPr>
                <w:b/>
                <w:color w:val="204658"/>
              </w:rPr>
              <w:t xml:space="preserve">MODELLGRENZE  </w:t>
            </w:r>
            <w:r>
              <w:t>Ein wärmeres Traggas erscheint im idealen Constant-Pressure-Density-Screen pro Volumen geringfügig leichter. Das darf nicht als operativer Vorteil interpretiert werden: reale Zellen expandieren, erreichen Volumen-/Druckgrenzen, tauschen Wärme mit der Hülle aus und besitzen Permeation. Diese thermoelastische Dynamik ist ein späteres Material-/CFD-/Versuchsproblem.</w:t>
            </w:r>
          </w:p>
        </w:tc>
      </w:tr>
    </w:tbl>
    <w:p>
      <w:pPr>
        <w:spacing w:after="20"/>
        <w:widowControl/>
      </w:pPr>
    </w:p>
    <w:p>
      <w:pPr>
        <w:pStyle w:val="Heading2"/>
        <w:keepNext/>
        <w:widowControl/>
      </w:pPr>
      <w:r>
        <w:rPr>
          <w:rFonts w:ascii="Liberation Serif" w:hAnsi="Liberation Serif"/>
        </w:rPr>
        <w:t>5.3 Niederschlag und Zusatzmasse</w:t>
      </w:r>
    </w:p>
    <w:tbl>
      <w:tblPr>
        <w:tblStyle w:val="TableGrid"/>
        <w:tblW w:type="auto" w:w="0"/>
        <w:jc w:val="center"/>
        <w:tblLayout w:type="fixed"/>
        <w:tblLook w:firstColumn="1" w:firstRow="1" w:lastColumn="0" w:lastRow="0" w:noHBand="0" w:noVBand="1" w:val="04A0"/>
      </w:tblPr>
      <w:tblGrid>
        <w:gridCol w:w="2016"/>
        <w:gridCol w:w="2016"/>
        <w:gridCol w:w="2016"/>
        <w:gridCol w:w="2016"/>
        <w:gridCol w:w="2016"/>
      </w:tblGrid>
      <w:tr>
        <w:trPr>
          <w:tblHeader w:val="true"/>
        </w:trPr>
        <w:tc>
          <w:tcPr>
            <w:tcW w:type="dxa" w:w="1656"/>
            <w:shd w:fill="DCE6ED"/>
            <w:tcMar>
              <w:top w:w="90" w:type="dxa"/>
              <w:start w:w="90" w:type="dxa"/>
              <w:bottom w:w="90" w:type="dxa"/>
              <w:end w:w="90" w:type="dxa"/>
            </w:tcMar>
            <w:vAlign w:val="center"/>
          </w:tcPr>
          <w:p>
            <w:pPr>
              <w:jc w:val="center"/>
            </w:pPr>
            <w:r>
              <w:rPr>
                <w:rFonts w:ascii="Liberation Sans" w:hAnsi="Liberation Sans"/>
                <w:b/>
                <w:sz w:val="16"/>
              </w:rPr>
              <w:t>eq. Wasserfilm [mm]</w:t>
            </w:r>
          </w:p>
        </w:tc>
        <w:tc>
          <w:tcPr>
            <w:tcW w:type="dxa" w:w="1440"/>
            <w:shd w:fill="DCE6ED"/>
            <w:tcMar>
              <w:top w:w="90" w:type="dxa"/>
              <w:start w:w="90" w:type="dxa"/>
              <w:bottom w:w="90" w:type="dxa"/>
              <w:end w:w="90" w:type="dxa"/>
            </w:tcMar>
            <w:vAlign w:val="center"/>
          </w:tcPr>
          <w:p>
            <w:pPr>
              <w:jc w:val="center"/>
            </w:pPr>
            <w:r>
              <w:rPr>
                <w:rFonts w:ascii="Liberation Sans" w:hAnsi="Liberation Sans"/>
                <w:b/>
                <w:sz w:val="16"/>
              </w:rPr>
              <w:t>Masse [t]</w:t>
            </w:r>
          </w:p>
        </w:tc>
        <w:tc>
          <w:tcPr>
            <w:tcW w:type="dxa" w:w="936"/>
            <w:shd w:fill="DCE6ED"/>
            <w:tcMar>
              <w:top w:w="90" w:type="dxa"/>
              <w:start w:w="90" w:type="dxa"/>
              <w:bottom w:w="90" w:type="dxa"/>
              <w:end w:w="90" w:type="dxa"/>
            </w:tcMar>
            <w:vAlign w:val="center"/>
          </w:tcPr>
          <w:p>
            <w:pPr>
              <w:jc w:val="center"/>
            </w:pPr>
            <w:r>
              <w:rPr>
                <w:rFonts w:ascii="Liberation Sans" w:hAnsi="Liberation Sans"/>
                <w:b/>
                <w:sz w:val="16"/>
              </w:rPr>
              <w:t>T [°C]</w:t>
            </w:r>
          </w:p>
        </w:tc>
        <w:tc>
          <w:tcPr>
            <w:tcW w:type="dxa" w:w="1656"/>
            <w:shd w:fill="DCE6ED"/>
            <w:tcMar>
              <w:top w:w="90" w:type="dxa"/>
              <w:start w:w="90" w:type="dxa"/>
              <w:bottom w:w="90" w:type="dxa"/>
              <w:end w:w="90" w:type="dxa"/>
            </w:tcMar>
            <w:vAlign w:val="center"/>
          </w:tcPr>
          <w:p>
            <w:pPr>
              <w:jc w:val="center"/>
            </w:pPr>
            <w:r>
              <w:rPr>
                <w:rFonts w:ascii="Liberation Sans" w:hAnsi="Liberation Sans"/>
                <w:b/>
                <w:sz w:val="16"/>
              </w:rPr>
              <w:t>erf. Fill [%]</w:t>
            </w:r>
          </w:p>
        </w:tc>
        <w:tc>
          <w:tcPr>
            <w:tcW w:type="dxa" w:w="1656"/>
            <w:shd w:fill="DCE6ED"/>
            <w:tcMar>
              <w:top w:w="90" w:type="dxa"/>
              <w:start w:w="90" w:type="dxa"/>
              <w:bottom w:w="90" w:type="dxa"/>
              <w:end w:w="90" w:type="dxa"/>
            </w:tcMar>
            <w:vAlign w:val="center"/>
          </w:tcPr>
          <w:p>
            <w:pPr>
              <w:jc w:val="center"/>
            </w:pPr>
            <w:r>
              <w:rPr>
                <w:rFonts w:ascii="Liberation Sans" w:hAnsi="Liberation Sans"/>
                <w:b/>
                <w:sz w:val="16"/>
              </w:rPr>
              <w:t>Headroom [pp]</w:t>
            </w:r>
          </w:p>
        </w:tc>
      </w:tr>
      <w:tr>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0</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0,00</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6"/>
              </w:rPr>
              <w:t>35</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81,46</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6,54</w:t>
            </w:r>
          </w:p>
        </w:tc>
      </w:tr>
      <w:tr>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0,00</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50</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85,42</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2,58</w:t>
            </w:r>
          </w:p>
        </w:tc>
      </w:tr>
      <w:tr>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0.1</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5,33</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6"/>
              </w:rPr>
              <w:t>35</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82,17</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5,83</w:t>
            </w:r>
          </w:p>
        </w:tc>
      </w:tr>
      <w:tr>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0.1</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5,33</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50</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86,17</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1,83</w:t>
            </w:r>
          </w:p>
        </w:tc>
      </w:tr>
      <w:tr>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0.25</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13,32</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6"/>
              </w:rPr>
              <w:t>35</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83,25</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4,75</w:t>
            </w:r>
          </w:p>
        </w:tc>
      </w:tr>
      <w:tr>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0.25</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13,32</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50</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87,31</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0,69</w:t>
            </w:r>
          </w:p>
        </w:tc>
      </w:tr>
      <w:tr>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0.5</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26,64</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6"/>
              </w:rPr>
              <w:t>35</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85,05</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2,95</w:t>
            </w:r>
          </w:p>
        </w:tc>
      </w:tr>
      <w:tr>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0.5</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26,64</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50</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89,19</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-1,19</w:t>
            </w:r>
          </w:p>
        </w:tc>
      </w:tr>
      <w:tr>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1.0</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53,28</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6"/>
              </w:rPr>
              <w:t>35</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88,64</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-0,64</w:t>
            </w:r>
          </w:p>
        </w:tc>
      </w:tr>
      <w:tr>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53,28</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50</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92,96</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-4,96</w:t>
            </w:r>
          </w:p>
        </w:tc>
      </w:tr>
    </w:tbl>
    <w:p>
      <w:pPr>
        <w:spacing w:after="40"/>
        <w:widowControl/>
      </w:pPr>
    </w:p>
    <w:p>
      <w:pPr>
        <w:spacing w:after="140" w:line="259" w:lineRule="auto"/>
        <w:widowControl/>
      </w:pPr>
      <w:r>
        <w:rPr>
          <w:rFonts w:ascii="Liberation Serif" w:hAnsi="Liberation Serif"/>
        </w:rPr>
        <w:t>Ein äquivalenter zurückgehaltener Wasserfilm von nur 0,25 mm über der benetzten Fläche entspricht bereits rund 13,32 t. Bei 50 °C reduziert er die Kapazitätsreserve auf etwa 0,69 Prozentpunkte; 0,5 mm wären im reinen Screening nicht mehr mit der 88-%-Grenze vereinbar. Die Rechnung bedeutet nicht, dass sich ein homogener Film bildet. Sie ist eine bewusst einfache Massenobergrenze und begründet Drainage, Regen-/Eiswassererfassung und Wet-Weather-Dispatch als reale Designanforderungen.</w:t>
      </w:r>
    </w:p>
    <w:p>
      <w:pPr>
        <w:pStyle w:val="Heading2"/>
        <w:keepNext/>
        <w:widowControl/>
      </w:pPr>
      <w:r>
        <w:rPr>
          <w:rFonts w:ascii="Liberation Serif" w:hAnsi="Liberation Serif"/>
        </w:rPr>
        <w:t>5.4 Mission, Leistung, H2-Verbrauch und Produktwasser</w:t>
      </w:r>
    </w:p>
    <w:p>
      <w:pPr>
        <w:jc w:val="center"/>
        <w:widowControl/>
      </w:pPr>
      <w:r>
        <w:rPr>
          <w:rFonts w:ascii="Liberation Serif" w:hAnsi="Liberation Serif"/>
        </w:rPr>
        <w:drawing>
          <wp:inline xmlns:a="http://schemas.openxmlformats.org/drawingml/2006/main" xmlns:pic="http://schemas.openxmlformats.org/drawingml/2006/picture">
            <wp:extent cx="5623560" cy="3444951"/>
            <wp:docPr id="2" name="Picture 2"/>
            <wp:cNvGraphicFramePr>
              <a:graphicFrameLocks noChangeAspect="1"/>
            </wp:cNvGraphicFramePr>
            <a:graphic>
              <a:graphicData uri="http://schemas.openxmlformats.org/drawingml/2006/picture">
                <pic:pic>
                  <pic:nvPicPr>
                    <pic:cNvPr id="0" name="mission_range_vs_speed.png"/>
                    <pic:cNvPicPr/>
                  </pic:nvPicPr>
                  <pic:blipFill>
                    <a:blip r:embed="rId12"/>
                    <a:stretch>
                      <a:fillRect/>
                    </a:stretch>
                  </pic:blipFill>
                  <pic:spPr>
                    <a:xfrm>
                      <a:off x="0" y="0"/>
                      <a:ext cx="5623560" cy="3444951"/>
                    </a:xfrm>
                    <a:prstGeom prst="rect"/>
                  </pic:spPr>
                </pic:pic>
              </a:graphicData>
            </a:graphic>
          </wp:inline>
        </w:drawing>
      </w:r>
    </w:p>
    <w:p>
      <w:pPr>
        <w:spacing w:after="120"/>
        <w:jc w:val="center"/>
        <w:widowControl/>
      </w:pPr>
      <w:r>
        <w:rPr>
          <w:rFonts w:ascii="Liberation Serif" w:hAnsi="Liberation Serif"/>
          <w:b/>
          <w:color w:val="505050"/>
          <w:sz w:val="18"/>
        </w:rPr>
        <w:t>Abbildung 2: Reduced-Order-Reichweitensensitivität mit 8 t LH2. Niedrige Geschwindigkeiten sind wegen konstant gehaltener Propulsoreffizienz optimistisch.</w:t>
      </w:r>
    </w:p>
    <w:tbl>
      <w:tblPr>
        <w:tblStyle w:val="TableGrid"/>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val="true"/>
        </w:trPr>
        <w:tc>
          <w:tcPr>
            <w:tcW w:type="dxa" w:w="1152"/>
            <w:shd w:fill="DCE6ED"/>
            <w:tcMar>
              <w:top w:w="90" w:type="dxa"/>
              <w:start w:w="90" w:type="dxa"/>
              <w:bottom w:w="90" w:type="dxa"/>
              <w:end w:w="90" w:type="dxa"/>
            </w:tcMar>
            <w:vAlign w:val="center"/>
          </w:tcPr>
          <w:p>
            <w:pPr>
              <w:jc w:val="center"/>
            </w:pPr>
            <w:r>
              <w:rPr>
                <w:rFonts w:ascii="Liberation Sans" w:hAnsi="Liberation Sans"/>
                <w:b/>
                <w:sz w:val="15"/>
              </w:rPr>
              <w:t>v [km/h]</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5"/>
              </w:rPr>
              <w:t>PEMFC [MW]</w:t>
            </w:r>
          </w:p>
        </w:tc>
        <w:tc>
          <w:tcPr>
            <w:tcW w:type="dxa" w:w="1368"/>
            <w:shd w:fill="DCE6ED"/>
            <w:tcMar>
              <w:top w:w="90" w:type="dxa"/>
              <w:start w:w="90" w:type="dxa"/>
              <w:bottom w:w="90" w:type="dxa"/>
              <w:end w:w="90" w:type="dxa"/>
            </w:tcMar>
            <w:vAlign w:val="center"/>
          </w:tcPr>
          <w:p>
            <w:pPr>
              <w:jc w:val="center"/>
            </w:pPr>
            <w:r>
              <w:rPr>
                <w:rFonts w:ascii="Liberation Sans" w:hAnsi="Liberation Sans"/>
                <w:b/>
                <w:sz w:val="15"/>
              </w:rPr>
              <w:t>H2 [kg/h]</w:t>
            </w:r>
          </w:p>
        </w:tc>
        <w:tc>
          <w:tcPr>
            <w:tcW w:type="dxa" w:w="1368"/>
            <w:shd w:fill="DCE6ED"/>
            <w:tcMar>
              <w:top w:w="90" w:type="dxa"/>
              <w:start w:w="90" w:type="dxa"/>
              <w:bottom w:w="90" w:type="dxa"/>
              <w:end w:w="90" w:type="dxa"/>
            </w:tcMar>
            <w:vAlign w:val="center"/>
          </w:tcPr>
          <w:p>
            <w:pPr>
              <w:jc w:val="center"/>
            </w:pPr>
            <w:r>
              <w:rPr>
                <w:rFonts w:ascii="Liberation Sans" w:hAnsi="Liberation Sans"/>
                <w:b/>
                <w:sz w:val="15"/>
              </w:rPr>
              <w:t>H2/25h [t]</w:t>
            </w:r>
          </w:p>
        </w:tc>
        <w:tc>
          <w:tcPr>
            <w:tcW w:type="dxa" w:w="1512"/>
            <w:shd w:fill="DCE6ED"/>
            <w:tcMar>
              <w:top w:w="90" w:type="dxa"/>
              <w:start w:w="90" w:type="dxa"/>
              <w:bottom w:w="90" w:type="dxa"/>
              <w:end w:w="90" w:type="dxa"/>
            </w:tcMar>
            <w:vAlign w:val="center"/>
          </w:tcPr>
          <w:p>
            <w:pPr>
              <w:jc w:val="center"/>
            </w:pPr>
            <w:r>
              <w:rPr>
                <w:rFonts w:ascii="Liberation Sans" w:hAnsi="Liberation Sans"/>
                <w:b/>
                <w:sz w:val="15"/>
              </w:rPr>
              <w:t>Produktwasser [t]</w:t>
            </w:r>
          </w:p>
        </w:tc>
        <w:tc>
          <w:tcPr>
            <w:tcW w:type="dxa" w:w="1800"/>
            <w:shd w:fill="DCE6ED"/>
            <w:tcMar>
              <w:top w:w="90" w:type="dxa"/>
              <w:start w:w="90" w:type="dxa"/>
              <w:bottom w:w="90" w:type="dxa"/>
              <w:end w:w="90" w:type="dxa"/>
            </w:tcMar>
            <w:vAlign w:val="center"/>
          </w:tcPr>
          <w:p>
            <w:pPr>
              <w:jc w:val="center"/>
            </w:pPr>
            <w:r>
              <w:rPr>
                <w:rFonts w:ascii="Liberation Sans" w:hAnsi="Liberation Sans"/>
                <w:b/>
                <w:sz w:val="15"/>
              </w:rPr>
              <w:t>abzuführendes Wasser* [t]</w:t>
            </w:r>
          </w:p>
        </w:tc>
      </w:tr>
      <w:tr>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5"/>
              </w:rPr>
              <w:t>80</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5"/>
              </w:rPr>
              <w:t>2,46</w:t>
            </w:r>
          </w:p>
        </w:tc>
        <w:tc>
          <w:tcPr>
            <w:tcW w:type="dxa" w:w="1368"/>
            <w:tcMar>
              <w:top w:w="70" w:type="dxa"/>
              <w:start w:w="80" w:type="dxa"/>
              <w:bottom w:w="70" w:type="dxa"/>
              <w:end w:w="80" w:type="dxa"/>
            </w:tcMar>
            <w:vAlign w:val="center"/>
          </w:tcPr>
          <w:p>
            <w:pPr>
              <w:spacing w:after="0" w:line="240" w:lineRule="auto"/>
              <w:jc w:val="left"/>
            </w:pPr>
            <w:r>
              <w:rPr>
                <w:rFonts w:ascii="Liberation Sans" w:hAnsi="Liberation Sans"/>
                <w:sz w:val="15"/>
              </w:rPr>
              <w:t>134</w:t>
            </w:r>
          </w:p>
        </w:tc>
        <w:tc>
          <w:tcPr>
            <w:tcW w:type="dxa" w:w="1368"/>
            <w:tcMar>
              <w:top w:w="70" w:type="dxa"/>
              <w:start w:w="80" w:type="dxa"/>
              <w:bottom w:w="70" w:type="dxa"/>
              <w:end w:w="80" w:type="dxa"/>
            </w:tcMar>
            <w:vAlign w:val="center"/>
          </w:tcPr>
          <w:p>
            <w:pPr>
              <w:spacing w:after="0" w:line="240" w:lineRule="auto"/>
              <w:jc w:val="left"/>
            </w:pPr>
            <w:r>
              <w:rPr>
                <w:rFonts w:ascii="Liberation Sans" w:hAnsi="Liberation Sans"/>
                <w:sz w:val="15"/>
              </w:rPr>
              <w:t>3,35</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5"/>
              </w:rPr>
              <w:t>30,2</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5"/>
              </w:rPr>
              <w:t>26,8</w:t>
            </w:r>
          </w:p>
        </w:tc>
      </w:tr>
      <w:tr>
        <w:tc>
          <w:tcPr>
            <w:tcW w:type="dxa" w:w="115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85</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2,80</w:t>
            </w:r>
          </w:p>
        </w:tc>
        <w:tc>
          <w:tcPr>
            <w:tcW w:type="dxa" w:w="136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153</w:t>
            </w:r>
          </w:p>
        </w:tc>
        <w:tc>
          <w:tcPr>
            <w:tcW w:type="dxa" w:w="136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3,82</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34,4</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30,5</w:t>
            </w:r>
          </w:p>
        </w:tc>
      </w:tr>
      <w:tr>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5"/>
              </w:rPr>
              <w:t>90</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5"/>
              </w:rPr>
              <w:t>3,18</w:t>
            </w:r>
          </w:p>
        </w:tc>
        <w:tc>
          <w:tcPr>
            <w:tcW w:type="dxa" w:w="1368"/>
            <w:tcMar>
              <w:top w:w="70" w:type="dxa"/>
              <w:start w:w="80" w:type="dxa"/>
              <w:bottom w:w="70" w:type="dxa"/>
              <w:end w:w="80" w:type="dxa"/>
            </w:tcMar>
            <w:vAlign w:val="center"/>
          </w:tcPr>
          <w:p>
            <w:pPr>
              <w:spacing w:after="0" w:line="240" w:lineRule="auto"/>
              <w:jc w:val="left"/>
            </w:pPr>
            <w:r>
              <w:rPr>
                <w:rFonts w:ascii="Liberation Sans" w:hAnsi="Liberation Sans"/>
                <w:sz w:val="15"/>
              </w:rPr>
              <w:t>174</w:t>
            </w:r>
          </w:p>
        </w:tc>
        <w:tc>
          <w:tcPr>
            <w:tcW w:type="dxa" w:w="1368"/>
            <w:tcMar>
              <w:top w:w="70" w:type="dxa"/>
              <w:start w:w="80" w:type="dxa"/>
              <w:bottom w:w="70" w:type="dxa"/>
              <w:end w:w="80" w:type="dxa"/>
            </w:tcMar>
            <w:vAlign w:val="center"/>
          </w:tcPr>
          <w:p>
            <w:pPr>
              <w:spacing w:after="0" w:line="240" w:lineRule="auto"/>
              <w:jc w:val="left"/>
            </w:pPr>
            <w:r>
              <w:rPr>
                <w:rFonts w:ascii="Liberation Sans" w:hAnsi="Liberation Sans"/>
                <w:sz w:val="15"/>
              </w:rPr>
              <w:t>4,34</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5"/>
              </w:rPr>
              <w:t>39,1</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5"/>
              </w:rPr>
              <w:t>34,7</w:t>
            </w:r>
          </w:p>
        </w:tc>
      </w:tr>
      <w:tr>
        <w:tc>
          <w:tcPr>
            <w:tcW w:type="dxa" w:w="115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100</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4,09</w:t>
            </w:r>
          </w:p>
        </w:tc>
        <w:tc>
          <w:tcPr>
            <w:tcW w:type="dxa" w:w="136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223</w:t>
            </w:r>
          </w:p>
        </w:tc>
        <w:tc>
          <w:tcPr>
            <w:tcW w:type="dxa" w:w="136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5,58</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50,2</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44,6</w:t>
            </w:r>
          </w:p>
        </w:tc>
      </w:tr>
    </w:tbl>
    <w:p>
      <w:pPr>
        <w:spacing w:after="40"/>
        <w:widowControl/>
      </w:pPr>
    </w:p>
    <w:p>
      <w:pPr>
        <w:spacing w:after="140" w:line="259" w:lineRule="auto"/>
        <w:widowControl/>
      </w:pPr>
      <w:r>
        <w:rPr>
          <w:rFonts w:ascii="Liberation Serif" w:hAnsi="Liberation Serif"/>
        </w:rPr>
        <w:t>*Für den "mass-neutral" Wasseransatz wird je verbranntem kg H2 ungefähr ein kg Produktwasser als Massenersatz zurückgehalten; der restliche Reaktionswasserstrom muss kontrolliert gespeichert, genutzt oder abgeführt werden. Bei 100 km/h ergeben sich im aktuellen Reduced-Order-Modell rund 4,09 MW Brennstoffzellenleistung, 223 kg/h H2 und 5,58 t Brennstoffverbrauch über 25 h. Chemisch entstehen dabei rund 50,2 t Wasser; etwa 44,6 t wären über den massenneutralen Anteil hinaus zu managen.</w:t>
      </w:r>
    </w:p>
    <w:p>
      <w:pPr>
        <w:spacing w:after="140" w:line="259" w:lineRule="auto"/>
        <w:widowControl/>
      </w:pPr>
      <w:r>
        <w:rPr>
          <w:rFonts w:ascii="Liberation Serif" w:hAnsi="Liberation Serif"/>
        </w:rPr>
        <w:t>Die CG-Sensitivität bestätigt die Strategie: reiner Brennstoffverbrauch aus dem vorderen Tankbereich verschiebt xCG nach hinten. Das Zurückhalten ungefähr gleicher Produktwassermasse nahe x = 145 m hält die Gesamtmasse konstant und den Längsschwerpunkt fast unverändert. Das Zurückhalten des gesamten Produktwassers wäre dagegen massenseitig unvertretbar und verschiebt den Schwerpunkt deutlich nach vorn.</w:t>
      </w:r>
    </w:p>
    <w:p>
      <w:pPr>
        <w:pStyle w:val="Heading2"/>
        <w:keepNext/>
        <w:widowControl/>
      </w:pPr>
      <w:r>
        <w:rPr>
          <w:rFonts w:ascii="Liberation Serif" w:hAnsi="Liberation Serif"/>
        </w:rPr>
        <w:t>5.5 PEMFC-Modulausfall und Batterie-Buffer</w:t>
      </w:r>
    </w:p>
    <w:p>
      <w:pPr>
        <w:jc w:val="center"/>
        <w:widowControl/>
      </w:pPr>
      <w:r>
        <w:rPr>
          <w:rFonts w:ascii="Liberation Serif" w:hAnsi="Liberation Serif"/>
        </w:rPr>
        <w:drawing>
          <wp:inline xmlns:a="http://schemas.openxmlformats.org/drawingml/2006/main" xmlns:pic="http://schemas.openxmlformats.org/drawingml/2006/picture">
            <wp:extent cx="5623560" cy="3444951"/>
            <wp:docPr id="3" name="Picture 3"/>
            <wp:cNvGraphicFramePr>
              <a:graphicFrameLocks noChangeAspect="1"/>
            </wp:cNvGraphicFramePr>
            <a:graphic>
              <a:graphicData uri="http://schemas.openxmlformats.org/drawingml/2006/picture">
                <pic:pic>
                  <pic:nvPicPr>
                    <pic:cNvPr id="0" name="fc_module_out_speed.png"/>
                    <pic:cNvPicPr/>
                  </pic:nvPicPr>
                  <pic:blipFill>
                    <a:blip r:embed="rId13"/>
                    <a:stretch>
                      <a:fillRect/>
                    </a:stretch>
                  </pic:blipFill>
                  <pic:spPr>
                    <a:xfrm>
                      <a:off x="0" y="0"/>
                      <a:ext cx="5623560" cy="3444951"/>
                    </a:xfrm>
                    <a:prstGeom prst="rect"/>
                  </pic:spPr>
                </pic:pic>
              </a:graphicData>
            </a:graphic>
          </wp:inline>
        </w:drawing>
      </w:r>
    </w:p>
    <w:p>
      <w:pPr>
        <w:spacing w:after="120"/>
        <w:jc w:val="center"/>
        <w:widowControl/>
      </w:pPr>
      <w:r>
        <w:rPr>
          <w:rFonts w:ascii="Liberation Serif" w:hAnsi="Liberation Serif"/>
          <w:b/>
          <w:color w:val="505050"/>
          <w:sz w:val="18"/>
        </w:rPr>
        <w:t>Abbildung 3: Reduced-Order-Leistungsbedarf gegen verfügbare PEMFC-Module.</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880"/>
            <w:shd w:fill="DCE6ED"/>
            <w:tcMar>
              <w:top w:w="90" w:type="dxa"/>
              <w:start w:w="90" w:type="dxa"/>
              <w:bottom w:w="90" w:type="dxa"/>
              <w:end w:w="90" w:type="dxa"/>
            </w:tcMar>
            <w:vAlign w:val="center"/>
          </w:tcPr>
          <w:p>
            <w:pPr>
              <w:jc w:val="center"/>
            </w:pPr>
            <w:r>
              <w:rPr>
                <w:rFonts w:ascii="Liberation Sans" w:hAnsi="Liberation Sans"/>
                <w:b/>
                <w:sz w:val="16"/>
              </w:rPr>
              <w:t>PEMFC-Module verfügbar</w:t>
            </w:r>
          </w:p>
        </w:tc>
        <w:tc>
          <w:tcPr>
            <w:tcW w:type="dxa" w:w="2016"/>
            <w:shd w:fill="DCE6ED"/>
            <w:tcMar>
              <w:top w:w="90" w:type="dxa"/>
              <w:start w:w="90" w:type="dxa"/>
              <w:bottom w:w="90" w:type="dxa"/>
              <w:end w:w="90" w:type="dxa"/>
            </w:tcMar>
            <w:vAlign w:val="center"/>
          </w:tcPr>
          <w:p>
            <w:pPr>
              <w:jc w:val="center"/>
            </w:pPr>
            <w:r>
              <w:rPr>
                <w:rFonts w:ascii="Liberation Sans" w:hAnsi="Liberation Sans"/>
                <w:b/>
                <w:sz w:val="16"/>
              </w:rPr>
              <w:t>Kapazität [MW]</w:t>
            </w:r>
          </w:p>
        </w:tc>
        <w:tc>
          <w:tcPr>
            <w:tcW w:type="dxa" w:w="3312"/>
            <w:shd w:fill="DCE6ED"/>
            <w:tcMar>
              <w:top w:w="90" w:type="dxa"/>
              <w:start w:w="90" w:type="dxa"/>
              <w:bottom w:w="90" w:type="dxa"/>
              <w:end w:w="90" w:type="dxa"/>
            </w:tcMar>
            <w:vAlign w:val="center"/>
          </w:tcPr>
          <w:p>
            <w:pPr>
              <w:jc w:val="center"/>
            </w:pPr>
            <w:r>
              <w:rPr>
                <w:rFonts w:ascii="Liberation Sans" w:hAnsi="Liberation Sans"/>
                <w:b/>
                <w:sz w:val="16"/>
              </w:rPr>
              <w:t>max. steady speed [km/h]*</w:t>
            </w:r>
          </w:p>
        </w:tc>
      </w:tr>
      <w:tr>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4</w:t>
            </w:r>
          </w:p>
        </w:tc>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3.0</w:t>
            </w:r>
          </w:p>
        </w:tc>
        <w:tc>
          <w:tcPr>
            <w:tcW w:type="dxa" w:w="3312"/>
            <w:tcMar>
              <w:top w:w="70" w:type="dxa"/>
              <w:start w:w="80" w:type="dxa"/>
              <w:bottom w:w="70" w:type="dxa"/>
              <w:end w:w="80" w:type="dxa"/>
            </w:tcMar>
            <w:vAlign w:val="center"/>
          </w:tcPr>
          <w:p>
            <w:pPr>
              <w:spacing w:after="0" w:line="240" w:lineRule="auto"/>
              <w:jc w:val="left"/>
            </w:pPr>
            <w:r>
              <w:rPr>
                <w:rFonts w:ascii="Liberation Sans" w:hAnsi="Liberation Sans"/>
                <w:sz w:val="16"/>
              </w:rPr>
              <w:t>87,7</w:t>
            </w:r>
          </w:p>
        </w:tc>
      </w:tr>
      <w:tr>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w:t>
            </w:r>
          </w:p>
        </w:tc>
        <w:tc>
          <w:tcPr>
            <w:tcW w:type="dxa" w:w="201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3.75</w:t>
            </w:r>
          </w:p>
        </w:tc>
        <w:tc>
          <w:tcPr>
            <w:tcW w:type="dxa" w:w="331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96,5</w:t>
            </w:r>
          </w:p>
        </w:tc>
      </w:tr>
      <w:tr>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6</w:t>
            </w:r>
          </w:p>
        </w:tc>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4.5</w:t>
            </w:r>
          </w:p>
        </w:tc>
        <w:tc>
          <w:tcPr>
            <w:tcW w:type="dxa" w:w="3312"/>
            <w:tcMar>
              <w:top w:w="70" w:type="dxa"/>
              <w:start w:w="80" w:type="dxa"/>
              <w:bottom w:w="70" w:type="dxa"/>
              <w:end w:w="80" w:type="dxa"/>
            </w:tcMar>
            <w:vAlign w:val="center"/>
          </w:tcPr>
          <w:p>
            <w:pPr>
              <w:spacing w:after="0" w:line="240" w:lineRule="auto"/>
              <w:jc w:val="left"/>
            </w:pPr>
            <w:r>
              <w:rPr>
                <w:rFonts w:ascii="Liberation Sans" w:hAnsi="Liberation Sans"/>
                <w:sz w:val="16"/>
              </w:rPr>
              <w:t>104,0</w:t>
            </w:r>
          </w:p>
        </w:tc>
      </w:tr>
      <w:tr>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7</w:t>
            </w:r>
          </w:p>
        </w:tc>
        <w:tc>
          <w:tcPr>
            <w:tcW w:type="dxa" w:w="201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5.25</w:t>
            </w:r>
          </w:p>
        </w:tc>
        <w:tc>
          <w:tcPr>
            <w:tcW w:type="dxa" w:w="331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110,5</w:t>
            </w:r>
          </w:p>
        </w:tc>
      </w:tr>
    </w:tbl>
    <w:p>
      <w:pPr>
        <w:spacing w:after="40"/>
        <w:widowControl/>
      </w:pPr>
    </w:p>
    <w:tbl>
      <w:tblPr>
        <w:tblStyle w:val="TableGrid"/>
        <w:tblW w:type="auto" w:w="0"/>
        <w:jc w:val="center"/>
        <w:tblLayout w:type="fixed"/>
        <w:tblLook w:firstColumn="1" w:firstRow="1" w:lastColumn="0" w:lastRow="0" w:noHBand="0" w:noVBand="1" w:val="04A0"/>
      </w:tblPr>
      <w:tblGrid>
        <w:gridCol w:w="5040"/>
        <w:gridCol w:w="5040"/>
      </w:tblGrid>
      <w:tr>
        <w:trPr>
          <w:tblHeader w:val="true"/>
        </w:trPr>
        <w:tc>
          <w:tcPr>
            <w:tcW w:type="dxa" w:w="3456"/>
            <w:shd w:fill="DCE6ED"/>
            <w:tcMar>
              <w:top w:w="90" w:type="dxa"/>
              <w:start w:w="90" w:type="dxa"/>
              <w:bottom w:w="90" w:type="dxa"/>
              <w:end w:w="90" w:type="dxa"/>
            </w:tcMar>
            <w:vAlign w:val="center"/>
          </w:tcPr>
          <w:p>
            <w:pPr>
              <w:jc w:val="center"/>
            </w:pPr>
            <w:r>
              <w:rPr>
                <w:rFonts w:ascii="Liberation Sans" w:hAnsi="Liberation Sans"/>
                <w:b/>
                <w:sz w:val="16"/>
              </w:rPr>
              <w:t>Batterieleistung [MW]</w:t>
            </w:r>
          </w:p>
        </w:tc>
        <w:tc>
          <w:tcPr>
            <w:tcW w:type="dxa" w:w="3456"/>
            <w:shd w:fill="DCE6ED"/>
            <w:tcMar>
              <w:top w:w="90" w:type="dxa"/>
              <w:start w:w="90" w:type="dxa"/>
              <w:bottom w:w="90" w:type="dxa"/>
              <w:end w:w="90" w:type="dxa"/>
            </w:tcMar>
            <w:vAlign w:val="center"/>
          </w:tcPr>
          <w:p>
            <w:pPr>
              <w:jc w:val="center"/>
            </w:pPr>
            <w:r>
              <w:rPr>
                <w:rFonts w:ascii="Liberation Sans" w:hAnsi="Liberation Sans"/>
                <w:b/>
                <w:sz w:val="16"/>
              </w:rPr>
              <w:t>Dauer bei 0,8 MWh [min]</w:t>
            </w:r>
          </w:p>
        </w:tc>
      </w:tr>
      <w:tr>
        <w:tc>
          <w:tcPr>
            <w:tcW w:type="dxa" w:w="3456"/>
            <w:tcMar>
              <w:top w:w="70" w:type="dxa"/>
              <w:start w:w="80" w:type="dxa"/>
              <w:bottom w:w="70" w:type="dxa"/>
              <w:end w:w="80" w:type="dxa"/>
            </w:tcMar>
            <w:vAlign w:val="center"/>
          </w:tcPr>
          <w:p>
            <w:pPr>
              <w:spacing w:after="0" w:line="240" w:lineRule="auto"/>
              <w:jc w:val="left"/>
            </w:pPr>
            <w:r>
              <w:rPr>
                <w:rFonts w:ascii="Liberation Sans" w:hAnsi="Liberation Sans"/>
                <w:sz w:val="16"/>
              </w:rPr>
              <w:t>0.5</w:t>
            </w:r>
          </w:p>
        </w:tc>
        <w:tc>
          <w:tcPr>
            <w:tcW w:type="dxa" w:w="3456"/>
            <w:tcMar>
              <w:top w:w="70" w:type="dxa"/>
              <w:start w:w="80" w:type="dxa"/>
              <w:bottom w:w="70" w:type="dxa"/>
              <w:end w:w="80" w:type="dxa"/>
            </w:tcMar>
            <w:vAlign w:val="center"/>
          </w:tcPr>
          <w:p>
            <w:pPr>
              <w:spacing w:after="0" w:line="240" w:lineRule="auto"/>
              <w:jc w:val="left"/>
            </w:pPr>
            <w:r>
              <w:rPr>
                <w:rFonts w:ascii="Liberation Sans" w:hAnsi="Liberation Sans"/>
                <w:sz w:val="16"/>
              </w:rPr>
              <w:t>96,0</w:t>
            </w:r>
          </w:p>
        </w:tc>
      </w:tr>
      <w:tr>
        <w:tc>
          <w:tcPr>
            <w:tcW w:type="dxa" w:w="34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w:t>
            </w:r>
          </w:p>
        </w:tc>
        <w:tc>
          <w:tcPr>
            <w:tcW w:type="dxa" w:w="34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48,0</w:t>
            </w:r>
          </w:p>
        </w:tc>
      </w:tr>
      <w:tr>
        <w:tc>
          <w:tcPr>
            <w:tcW w:type="dxa" w:w="3456"/>
            <w:tcMar>
              <w:top w:w="70" w:type="dxa"/>
              <w:start w:w="80" w:type="dxa"/>
              <w:bottom w:w="70" w:type="dxa"/>
              <w:end w:w="80" w:type="dxa"/>
            </w:tcMar>
            <w:vAlign w:val="center"/>
          </w:tcPr>
          <w:p>
            <w:pPr>
              <w:spacing w:after="0" w:line="240" w:lineRule="auto"/>
              <w:jc w:val="left"/>
            </w:pPr>
            <w:r>
              <w:rPr>
                <w:rFonts w:ascii="Liberation Sans" w:hAnsi="Liberation Sans"/>
                <w:sz w:val="16"/>
              </w:rPr>
              <w:t>1.5</w:t>
            </w:r>
          </w:p>
        </w:tc>
        <w:tc>
          <w:tcPr>
            <w:tcW w:type="dxa" w:w="3456"/>
            <w:tcMar>
              <w:top w:w="70" w:type="dxa"/>
              <w:start w:w="80" w:type="dxa"/>
              <w:bottom w:w="70" w:type="dxa"/>
              <w:end w:w="80" w:type="dxa"/>
            </w:tcMar>
            <w:vAlign w:val="center"/>
          </w:tcPr>
          <w:p>
            <w:pPr>
              <w:spacing w:after="0" w:line="240" w:lineRule="auto"/>
              <w:jc w:val="left"/>
            </w:pPr>
            <w:r>
              <w:rPr>
                <w:rFonts w:ascii="Liberation Sans" w:hAnsi="Liberation Sans"/>
                <w:sz w:val="16"/>
              </w:rPr>
              <w:t>32,0</w:t>
            </w:r>
          </w:p>
        </w:tc>
      </w:tr>
      <w:tr>
        <w:tc>
          <w:tcPr>
            <w:tcW w:type="dxa" w:w="34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2.0</w:t>
            </w:r>
          </w:p>
        </w:tc>
        <w:tc>
          <w:tcPr>
            <w:tcW w:type="dxa" w:w="34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24,0</w:t>
            </w:r>
          </w:p>
        </w:tc>
      </w:tr>
      <w:tr>
        <w:tc>
          <w:tcPr>
            <w:tcW w:type="dxa" w:w="3456"/>
            <w:tcMar>
              <w:top w:w="70" w:type="dxa"/>
              <w:start w:w="80" w:type="dxa"/>
              <w:bottom w:w="70" w:type="dxa"/>
              <w:end w:w="80" w:type="dxa"/>
            </w:tcMar>
            <w:vAlign w:val="center"/>
          </w:tcPr>
          <w:p>
            <w:pPr>
              <w:spacing w:after="0" w:line="240" w:lineRule="auto"/>
              <w:jc w:val="left"/>
            </w:pPr>
            <w:r>
              <w:rPr>
                <w:rFonts w:ascii="Liberation Sans" w:hAnsi="Liberation Sans"/>
                <w:sz w:val="16"/>
              </w:rPr>
              <w:t>3.0</w:t>
            </w:r>
          </w:p>
        </w:tc>
        <w:tc>
          <w:tcPr>
            <w:tcW w:type="dxa" w:w="3456"/>
            <w:tcMar>
              <w:top w:w="70" w:type="dxa"/>
              <w:start w:w="80" w:type="dxa"/>
              <w:bottom w:w="70" w:type="dxa"/>
              <w:end w:w="80" w:type="dxa"/>
            </w:tcMar>
            <w:vAlign w:val="center"/>
          </w:tcPr>
          <w:p>
            <w:pPr>
              <w:spacing w:after="0" w:line="240" w:lineRule="auto"/>
              <w:jc w:val="left"/>
            </w:pPr>
            <w:r>
              <w:rPr>
                <w:rFonts w:ascii="Liberation Sans" w:hAnsi="Liberation Sans"/>
                <w:sz w:val="16"/>
              </w:rPr>
              <w:t>16,0</w:t>
            </w:r>
          </w:p>
        </w:tc>
      </w:tr>
      <w:tr>
        <w:tc>
          <w:tcPr>
            <w:tcW w:type="dxa" w:w="34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4.0</w:t>
            </w:r>
          </w:p>
        </w:tc>
        <w:tc>
          <w:tcPr>
            <w:tcW w:type="dxa" w:w="34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12,0</w:t>
            </w:r>
          </w:p>
        </w:tc>
      </w:tr>
    </w:tbl>
    <w:p>
      <w:pPr>
        <w:spacing w:after="40"/>
        <w:widowControl/>
      </w:pPr>
    </w:p>
    <w:p>
      <w:pPr>
        <w:spacing w:after="140" w:line="259" w:lineRule="auto"/>
        <w:widowControl/>
      </w:pPr>
      <w:r>
        <w:rPr>
          <w:rFonts w:ascii="Liberation Serif" w:hAnsi="Liberation Serif"/>
        </w:rPr>
        <w:t>*Der Speed-Wert ist ein Drag/Power-Screen mit konstantem Wirkungsgrad. Mit vier verfügbaren 0,75-MW-PEMFC-Modulen verbleiben rechnerisch etwa 87,7 km/h, mit fünf rund 96,5 km/h und mit sechs rund 104,0 km/h. Die Batterie kann 4 MW nur ungefähr 12 Minuten, 2 MW etwa 24 Minuten und 1 MW rund 48 Minuten liefern. Das stützt ihre Rolle als Transient-/Emergency-Puffer statt als Langzeit-Ersatz für mehrere ausgefallene PEMFC-Module.</w:t>
      </w:r>
    </w:p>
    <w:p>
      <w:pPr>
        <w:pStyle w:val="Heading2"/>
        <w:keepNext/>
        <w:widowControl/>
      </w:pPr>
      <w:r>
        <w:rPr>
          <w:rFonts w:ascii="Liberation Serif" w:hAnsi="Liberation Serif"/>
        </w:rPr>
        <w:t>5.6 Pod-Ausfälle und vereinfachte Control-Allocation</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3312"/>
            <w:shd w:fill="DCE6ED"/>
            <w:tcMar>
              <w:top w:w="90" w:type="dxa"/>
              <w:start w:w="90" w:type="dxa"/>
              <w:bottom w:w="90" w:type="dxa"/>
              <w:end w:w="90" w:type="dxa"/>
            </w:tcMar>
            <w:vAlign w:val="center"/>
          </w:tcPr>
          <w:p>
            <w:pPr>
              <w:jc w:val="center"/>
            </w:pPr>
            <w:r>
              <w:rPr>
                <w:rFonts w:ascii="Liberation Sans" w:hAnsi="Liberation Sans"/>
                <w:b/>
                <w:sz w:val="15"/>
              </w:rPr>
              <w:t>Szenario</w:t>
            </w:r>
          </w:p>
        </w:tc>
        <w:tc>
          <w:tcPr>
            <w:tcW w:type="dxa" w:w="1944"/>
            <w:shd w:fill="DCE6ED"/>
            <w:tcMar>
              <w:top w:w="90" w:type="dxa"/>
              <w:start w:w="90" w:type="dxa"/>
              <w:bottom w:w="90" w:type="dxa"/>
              <w:end w:w="90" w:type="dxa"/>
            </w:tcMar>
            <w:vAlign w:val="center"/>
          </w:tcPr>
          <w:p>
            <w:pPr>
              <w:jc w:val="center"/>
            </w:pPr>
            <w:r>
              <w:rPr>
                <w:rFonts w:ascii="Liberation Sans" w:hAnsi="Liberation Sans"/>
                <w:b/>
                <w:sz w:val="15"/>
              </w:rPr>
              <w:t>zero-yaw max thrust [kN]</w:t>
            </w:r>
          </w:p>
        </w:tc>
        <w:tc>
          <w:tcPr>
            <w:tcW w:type="dxa" w:w="1728"/>
            <w:shd w:fill="DCE6ED"/>
            <w:tcMar>
              <w:top w:w="90" w:type="dxa"/>
              <w:start w:w="90" w:type="dxa"/>
              <w:bottom w:w="90" w:type="dxa"/>
              <w:end w:w="90" w:type="dxa"/>
            </w:tcMar>
            <w:vAlign w:val="center"/>
          </w:tcPr>
          <w:p>
            <w:pPr>
              <w:jc w:val="center"/>
            </w:pPr>
            <w:r>
              <w:rPr>
                <w:rFonts w:ascii="Liberation Sans" w:hAnsi="Liberation Sans"/>
                <w:b/>
                <w:sz w:val="15"/>
              </w:rPr>
              <w:t>thrust-limit [km/h]</w:t>
            </w:r>
          </w:p>
        </w:tc>
        <w:tc>
          <w:tcPr>
            <w:tcW w:type="dxa" w:w="1800"/>
            <w:shd w:fill="DCE6ED"/>
            <w:tcMar>
              <w:top w:w="90" w:type="dxa"/>
              <w:start w:w="90" w:type="dxa"/>
              <w:bottom w:w="90" w:type="dxa"/>
              <w:end w:w="90" w:type="dxa"/>
            </w:tcMar>
            <w:vAlign w:val="center"/>
          </w:tcPr>
          <w:p>
            <w:pPr>
              <w:jc w:val="center"/>
            </w:pPr>
            <w:r>
              <w:rPr>
                <w:rFonts w:ascii="Liberation Sans" w:hAnsi="Liberation Sans"/>
                <w:b/>
                <w:sz w:val="15"/>
              </w:rPr>
              <w:t>combined screen [km/h]</w:t>
            </w:r>
          </w:p>
        </w:tc>
      </w:tr>
      <w:tr>
        <w:tc>
          <w:tcPr>
            <w:tcW w:type="dxa" w:w="3312"/>
            <w:tcMar>
              <w:top w:w="70" w:type="dxa"/>
              <w:start w:w="80" w:type="dxa"/>
              <w:bottom w:w="70" w:type="dxa"/>
              <w:end w:w="80" w:type="dxa"/>
            </w:tcMar>
            <w:vAlign w:val="center"/>
          </w:tcPr>
          <w:p>
            <w:pPr>
              <w:spacing w:after="0" w:line="240" w:lineRule="auto"/>
              <w:jc w:val="left"/>
            </w:pPr>
            <w:r>
              <w:rPr>
                <w:rFonts w:ascii="Liberation Sans" w:hAnsi="Liberation Sans"/>
                <w:sz w:val="15"/>
              </w:rPr>
              <w:t>nominal</w:t>
            </w:r>
          </w:p>
        </w:tc>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5"/>
              </w:rPr>
              <w:t>144.0</w:t>
            </w:r>
          </w:p>
        </w:tc>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5"/>
              </w:rPr>
              <w:t>135,0</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5"/>
              </w:rPr>
              <w:t>110,5</w:t>
            </w:r>
          </w:p>
        </w:tc>
      </w:tr>
      <w:tr>
        <w:tc>
          <w:tcPr>
            <w:tcW w:type="dxa" w:w="331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one pod lost on one side</w:t>
            </w:r>
          </w:p>
        </w:tc>
        <w:tc>
          <w:tcPr>
            <w:tcW w:type="dxa" w:w="1944"/>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108.0</w:t>
            </w:r>
          </w:p>
        </w:tc>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116,9</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110,5</w:t>
            </w:r>
          </w:p>
        </w:tc>
      </w:tr>
      <w:tr>
        <w:tc>
          <w:tcPr>
            <w:tcW w:type="dxa" w:w="3312"/>
            <w:tcMar>
              <w:top w:w="70" w:type="dxa"/>
              <w:start w:w="80" w:type="dxa"/>
              <w:bottom w:w="70" w:type="dxa"/>
              <w:end w:w="80" w:type="dxa"/>
            </w:tcMar>
            <w:vAlign w:val="center"/>
          </w:tcPr>
          <w:p>
            <w:pPr>
              <w:spacing w:after="0" w:line="240" w:lineRule="auto"/>
              <w:jc w:val="left"/>
            </w:pPr>
            <w:r>
              <w:rPr>
                <w:rFonts w:ascii="Liberation Sans" w:hAnsi="Liberation Sans"/>
                <w:sz w:val="15"/>
              </w:rPr>
              <w:t>two pods lost opposite sides</w:t>
            </w:r>
          </w:p>
        </w:tc>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5"/>
              </w:rPr>
              <w:t>108.0</w:t>
            </w:r>
          </w:p>
        </w:tc>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5"/>
              </w:rPr>
              <w:t>116,9</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5"/>
              </w:rPr>
              <w:t>110,5</w:t>
            </w:r>
          </w:p>
        </w:tc>
      </w:tr>
      <w:tr>
        <w:tc>
          <w:tcPr>
            <w:tcW w:type="dxa" w:w="331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two pods lost same side</w:t>
            </w:r>
          </w:p>
        </w:tc>
        <w:tc>
          <w:tcPr>
            <w:tcW w:type="dxa" w:w="1944"/>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72.0</w:t>
            </w:r>
          </w:p>
        </w:tc>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95,5</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95,5</w:t>
            </w:r>
          </w:p>
        </w:tc>
      </w:tr>
      <w:tr>
        <w:tc>
          <w:tcPr>
            <w:tcW w:type="dxa" w:w="3312"/>
            <w:tcMar>
              <w:top w:w="70" w:type="dxa"/>
              <w:start w:w="80" w:type="dxa"/>
              <w:bottom w:w="70" w:type="dxa"/>
              <w:end w:w="80" w:type="dxa"/>
            </w:tcMar>
            <w:vAlign w:val="center"/>
          </w:tcPr>
          <w:p>
            <w:pPr>
              <w:spacing w:after="0" w:line="240" w:lineRule="auto"/>
              <w:jc w:val="left"/>
            </w:pPr>
            <w:r>
              <w:rPr>
                <w:rFonts w:ascii="Liberation Sans" w:hAnsi="Liberation Sans"/>
                <w:sz w:val="15"/>
              </w:rPr>
              <w:t>three pods lost same side</w:t>
            </w:r>
          </w:p>
        </w:tc>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5"/>
              </w:rPr>
              <w:t>36.0</w:t>
            </w:r>
          </w:p>
        </w:tc>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5"/>
              </w:rPr>
              <w:t>67,5</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5"/>
              </w:rPr>
              <w:t>67,5</w:t>
            </w:r>
          </w:p>
        </w:tc>
      </w:tr>
    </w:tbl>
    <w:p>
      <w:pPr>
        <w:spacing w:after="40"/>
        <w:widowControl/>
      </w:pPr>
    </w:p>
    <w:p>
      <w:pPr>
        <w:spacing w:after="140" w:line="259" w:lineRule="auto"/>
        <w:widowControl/>
      </w:pPr>
      <w:r>
        <w:rPr>
          <w:rFonts w:ascii="Liberation Serif" w:hAnsi="Liberation Serif"/>
        </w:rPr>
        <w:t>Das Modell erzwingt ohne Leitwerks- oder Schubvektorierungscredit gleiche nutzbare Seitenkräfte. Ein einzelner Pod-Ausfall bleibt in diesem konservativen Symmetrie-Screen eher energie- als schubbegrenzt; zwei Ausfälle auf derselben Seite reduzieren den Null-Gier-Speed auf rund 95,5 km/h, drei auf etwa 67,5 km/h. Dies ist keine Flugmechanikfreigabe, sondern eine gut nachvollziehbare Untergrenze für die spätere 6-DOF-/Control-Law-Arbeit.</w:t>
      </w:r>
    </w:p>
    <w:p>
      <w:pPr>
        <w:pStyle w:val="Heading2"/>
        <w:keepNext/>
        <w:widowControl/>
      </w:pPr>
      <w:r>
        <w:rPr>
          <w:rFonts w:ascii="Liberation Serif" w:hAnsi="Liberation Serif"/>
        </w:rPr>
        <w:t>5.7 Thermal-Derate</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592"/>
            <w:shd w:fill="DCE6ED"/>
            <w:tcMar>
              <w:top w:w="90" w:type="dxa"/>
              <w:start w:w="90" w:type="dxa"/>
              <w:bottom w:w="90" w:type="dxa"/>
              <w:end w:w="90" w:type="dxa"/>
            </w:tcMar>
            <w:vAlign w:val="center"/>
          </w:tcPr>
          <w:p>
            <w:pPr>
              <w:jc w:val="center"/>
            </w:pPr>
            <w:r>
              <w:rPr>
                <w:rFonts w:ascii="Liberation Sans" w:hAnsi="Liberation Sans"/>
                <w:b/>
                <w:sz w:val="16"/>
              </w:rPr>
              <w:t>Kühlmodule verfügbar</w:t>
            </w:r>
          </w:p>
        </w:tc>
        <w:tc>
          <w:tcPr>
            <w:tcW w:type="dxa" w:w="2304"/>
            <w:shd w:fill="DCE6ED"/>
            <w:tcMar>
              <w:top w:w="90" w:type="dxa"/>
              <w:start w:w="90" w:type="dxa"/>
              <w:bottom w:w="90" w:type="dxa"/>
              <w:end w:w="90" w:type="dxa"/>
            </w:tcMar>
            <w:vAlign w:val="center"/>
          </w:tcPr>
          <w:p>
            <w:pPr>
              <w:jc w:val="center"/>
            </w:pPr>
            <w:r>
              <w:rPr>
                <w:rFonts w:ascii="Liberation Sans" w:hAnsi="Liberation Sans"/>
                <w:b/>
                <w:sz w:val="16"/>
              </w:rPr>
              <w:t>Kapazität [MWth]</w:t>
            </w:r>
          </w:p>
        </w:tc>
        <w:tc>
          <w:tcPr>
            <w:tcW w:type="dxa" w:w="3168"/>
            <w:shd w:fill="DCE6ED"/>
            <w:tcMar>
              <w:top w:w="90" w:type="dxa"/>
              <w:start w:w="90" w:type="dxa"/>
              <w:bottom w:w="90" w:type="dxa"/>
              <w:end w:w="90" w:type="dxa"/>
            </w:tcMar>
            <w:vAlign w:val="center"/>
          </w:tcPr>
          <w:p>
            <w:pPr>
              <w:jc w:val="center"/>
            </w:pPr>
            <w:r>
              <w:rPr>
                <w:rFonts w:ascii="Liberation Sans" w:hAnsi="Liberation Sans"/>
                <w:b/>
                <w:sz w:val="16"/>
              </w:rPr>
              <w:t>heat-limit speed [km/h]*</w:t>
            </w:r>
          </w:p>
        </w:tc>
      </w:tr>
      <w:tr>
        <w:tc>
          <w:tcPr>
            <w:tcW w:type="dxa" w:w="2592"/>
            <w:tcMar>
              <w:top w:w="70" w:type="dxa"/>
              <w:start w:w="80" w:type="dxa"/>
              <w:bottom w:w="70" w:type="dxa"/>
              <w:end w:w="80" w:type="dxa"/>
            </w:tcMar>
            <w:vAlign w:val="center"/>
          </w:tcPr>
          <w:p>
            <w:pPr>
              <w:spacing w:after="0" w:line="240" w:lineRule="auto"/>
              <w:jc w:val="left"/>
            </w:pPr>
            <w:r>
              <w:rPr>
                <w:rFonts w:ascii="Liberation Sans" w:hAnsi="Liberation Sans"/>
                <w:sz w:val="16"/>
              </w:rPr>
              <w:t>5</w:t>
            </w:r>
          </w:p>
        </w:tc>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5,25</w:t>
            </w:r>
          </w:p>
        </w:tc>
        <w:tc>
          <w:tcPr>
            <w:tcW w:type="dxa" w:w="3168"/>
            <w:tcMar>
              <w:top w:w="70" w:type="dxa"/>
              <w:start w:w="80" w:type="dxa"/>
              <w:bottom w:w="70" w:type="dxa"/>
              <w:end w:w="80" w:type="dxa"/>
            </w:tcMar>
            <w:vAlign w:val="center"/>
          </w:tcPr>
          <w:p>
            <w:pPr>
              <w:spacing w:after="0" w:line="240" w:lineRule="auto"/>
              <w:jc w:val="left"/>
            </w:pPr>
            <w:r>
              <w:rPr>
                <w:rFonts w:ascii="Liberation Sans" w:hAnsi="Liberation Sans"/>
                <w:sz w:val="16"/>
              </w:rPr>
              <w:t>116,2</w:t>
            </w:r>
          </w:p>
        </w:tc>
      </w:tr>
      <w:tr>
        <w:tc>
          <w:tcPr>
            <w:tcW w:type="dxa" w:w="259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w:t>
            </w:r>
          </w:p>
        </w:tc>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4,20</w:t>
            </w:r>
          </w:p>
        </w:tc>
        <w:tc>
          <w:tcPr>
            <w:tcW w:type="dxa" w:w="316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106,5</w:t>
            </w:r>
          </w:p>
        </w:tc>
      </w:tr>
      <w:tr>
        <w:tc>
          <w:tcPr>
            <w:tcW w:type="dxa" w:w="2592"/>
            <w:tcMar>
              <w:top w:w="70" w:type="dxa"/>
              <w:start w:w="80" w:type="dxa"/>
              <w:bottom w:w="70" w:type="dxa"/>
              <w:end w:w="80" w:type="dxa"/>
            </w:tcMar>
            <w:vAlign w:val="center"/>
          </w:tcPr>
          <w:p>
            <w:pPr>
              <w:spacing w:after="0" w:line="240" w:lineRule="auto"/>
              <w:jc w:val="left"/>
            </w:pPr>
            <w:r>
              <w:rPr>
                <w:rFonts w:ascii="Liberation Sans" w:hAnsi="Liberation Sans"/>
                <w:sz w:val="16"/>
              </w:rPr>
              <w:t>3</w:t>
            </w:r>
          </w:p>
        </w:tc>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3,15</w:t>
            </w:r>
          </w:p>
        </w:tc>
        <w:tc>
          <w:tcPr>
            <w:tcW w:type="dxa" w:w="3168"/>
            <w:tcMar>
              <w:top w:w="70" w:type="dxa"/>
              <w:start w:w="80" w:type="dxa"/>
              <w:bottom w:w="70" w:type="dxa"/>
              <w:end w:w="80" w:type="dxa"/>
            </w:tcMar>
            <w:vAlign w:val="center"/>
          </w:tcPr>
          <w:p>
            <w:pPr>
              <w:spacing w:after="0" w:line="240" w:lineRule="auto"/>
              <w:jc w:val="left"/>
            </w:pPr>
            <w:r>
              <w:rPr>
                <w:rFonts w:ascii="Liberation Sans" w:hAnsi="Liberation Sans"/>
                <w:sz w:val="16"/>
              </w:rPr>
              <w:t>94,5</w:t>
            </w:r>
          </w:p>
        </w:tc>
      </w:tr>
    </w:tbl>
    <w:p>
      <w:pPr>
        <w:spacing w:after="40"/>
        <w:widowControl/>
      </w:pPr>
    </w:p>
    <w:p>
      <w:pPr>
        <w:spacing w:after="140" w:line="259" w:lineRule="auto"/>
        <w:widowControl/>
      </w:pPr>
      <w:r>
        <w:rPr>
          <w:rFonts w:ascii="Liberation Serif" w:hAnsi="Liberation Serif"/>
        </w:rPr>
        <w:t>Die v1.3-Wärmebilanz reproduziert bei 100 km/h etwa 3,60 MW abzuleitende Wärme und liegt damit nahe dem früheren 3,7-MW-Designscreen. Mit fünf 1,05-MWth-Modulen ist der Wärmehaushalt im Modell bis etwa 116 km/h geschlossen, mit vier bis etwa 106 km/h und mit drei nur bis rund 94,5 km/h. Herstellerkennfelder, lokale Druckverluste und Hot-Day-Radiatorleistung bleiben zwingende Test-/Vendor-Inputs.</w:t>
      </w:r>
    </w:p>
    <w:p>
      <w:pPr>
        <w:pStyle w:val="Heading2"/>
        <w:keepNext/>
        <w:widowControl/>
      </w:pPr>
      <w:r>
        <w:rPr>
          <w:rFonts w:ascii="Liberation Serif" w:hAnsi="Liberation Serif"/>
        </w:rPr>
        <w:t>5.8 Broadside-Wind und globale Biegung</w:t>
      </w:r>
    </w:p>
    <w:p>
      <w:pPr>
        <w:jc w:val="center"/>
        <w:widowControl/>
      </w:pPr>
      <w:r>
        <w:rPr>
          <w:rFonts w:ascii="Liberation Serif" w:hAnsi="Liberation Serif"/>
        </w:rPr>
        <w:drawing>
          <wp:inline xmlns:a="http://schemas.openxmlformats.org/drawingml/2006/main" xmlns:pic="http://schemas.openxmlformats.org/drawingml/2006/picture">
            <wp:extent cx="5623560" cy="3444951"/>
            <wp:docPr id="4" name="Picture 4"/>
            <wp:cNvGraphicFramePr>
              <a:graphicFrameLocks noChangeAspect="1"/>
            </wp:cNvGraphicFramePr>
            <a:graphic>
              <a:graphicData uri="http://schemas.openxmlformats.org/drawingml/2006/picture">
                <pic:pic>
                  <pic:nvPicPr>
                    <pic:cNvPr id="0" name="broadside_wind.png"/>
                    <pic:cNvPicPr/>
                  </pic:nvPicPr>
                  <pic:blipFill>
                    <a:blip r:embed="rId14"/>
                    <a:stretch>
                      <a:fillRect/>
                    </a:stretch>
                  </pic:blipFill>
                  <pic:spPr>
                    <a:xfrm>
                      <a:off x="0" y="0"/>
                      <a:ext cx="5623560" cy="3444951"/>
                    </a:xfrm>
                    <a:prstGeom prst="rect"/>
                  </pic:spPr>
                </pic:pic>
              </a:graphicData>
            </a:graphic>
          </wp:inline>
        </w:drawing>
      </w:r>
    </w:p>
    <w:p>
      <w:pPr>
        <w:spacing w:after="120"/>
        <w:jc w:val="center"/>
        <w:widowControl/>
      </w:pPr>
      <w:r>
        <w:rPr>
          <w:rFonts w:ascii="Liberation Serif" w:hAnsi="Liberation Serif"/>
          <w:b/>
          <w:color w:val="505050"/>
          <w:sz w:val="18"/>
        </w:rPr>
        <w:t>Abbildung 4: H350-64 Broadside-Seitenkraft und Nose-Moment über Windgeschwindigkeit im v1.3-Screen.</w:t>
      </w:r>
    </w:p>
    <w:p>
      <w:pPr>
        <w:spacing w:after="140" w:line="259" w:lineRule="auto"/>
        <w:widowControl/>
      </w:pPr>
      <w:r>
        <w:rPr>
          <w:rFonts w:ascii="Liberation Serif" w:hAnsi="Liberation Serif"/>
        </w:rPr>
        <w:t>Aus der H350-64-Geometrie ergibt sich eine seitlich projizierte Fläche von rund 16.741 m2. Mit Cd,y = 0,8 und 1,30 Gust-Faktor resultieren bei 20 m/s rund 3,28 MN quasistatische Seitenkraft bzw. 4,27 MN im Gust-Screen. Am 175-m-Hebel entspricht dies etwa 746 MNm Nose-Moment. Der Wert bestätigt, dass der vollständige Broadside-Notfall weder durch normale Mastdimensionierung noch durch lokale v0.9-Joint-Screens allein abgesichert werden kann: Weather-Vaning, Release-Logik und abnormaler Betriebsbereich sind systemkritisch.</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1728"/>
            <w:shd w:fill="DCE6ED"/>
            <w:tcMar>
              <w:top w:w="90" w:type="dxa"/>
              <w:start w:w="90" w:type="dxa"/>
              <w:bottom w:w="90" w:type="dxa"/>
              <w:end w:w="90" w:type="dxa"/>
            </w:tcMar>
            <w:vAlign w:val="center"/>
          </w:tcPr>
          <w:p>
            <w:pPr>
              <w:jc w:val="center"/>
            </w:pPr>
            <w:r>
              <w:rPr>
                <w:rFonts w:ascii="Liberation Sans" w:hAnsi="Liberation Sans"/>
                <w:b/>
                <w:sz w:val="16"/>
              </w:rPr>
              <w:t>global M [MNm]</w:t>
            </w:r>
          </w:p>
        </w:tc>
        <w:tc>
          <w:tcPr>
            <w:tcW w:type="dxa" w:w="2088"/>
            <w:shd w:fill="DCE6ED"/>
            <w:tcMar>
              <w:top w:w="90" w:type="dxa"/>
              <w:start w:w="90" w:type="dxa"/>
              <w:bottom w:w="90" w:type="dxa"/>
              <w:end w:w="90" w:type="dxa"/>
            </w:tcMar>
            <w:vAlign w:val="center"/>
          </w:tcPr>
          <w:p>
            <w:pPr>
              <w:jc w:val="center"/>
            </w:pPr>
            <w:r>
              <w:rPr>
                <w:rFonts w:ascii="Liberation Sans" w:hAnsi="Liberation Sans"/>
                <w:b/>
                <w:sz w:val="16"/>
              </w:rPr>
              <w:t>max Longeron [kN]</w:t>
            </w:r>
          </w:p>
        </w:tc>
        <w:tc>
          <w:tcPr>
            <w:tcW w:type="dxa" w:w="2088"/>
            <w:shd w:fill="DCE6ED"/>
            <w:tcMar>
              <w:top w:w="90" w:type="dxa"/>
              <w:start w:w="90" w:type="dxa"/>
              <w:bottom w:w="90" w:type="dxa"/>
              <w:end w:w="90" w:type="dxa"/>
            </w:tcMar>
            <w:vAlign w:val="center"/>
          </w:tcPr>
          <w:p>
            <w:pPr>
              <w:jc w:val="center"/>
            </w:pPr>
            <w:r>
              <w:rPr>
                <w:rFonts w:ascii="Liberation Sans" w:hAnsi="Liberation Sans"/>
                <w:b/>
                <w:sz w:val="16"/>
              </w:rPr>
              <w:t>nom. Stress [MPa]</w:t>
            </w:r>
          </w:p>
        </w:tc>
        <w:tc>
          <w:tcPr>
            <w:tcW w:type="dxa" w:w="2232"/>
            <w:shd w:fill="DCE6ED"/>
            <w:tcMar>
              <w:top w:w="90" w:type="dxa"/>
              <w:start w:w="90" w:type="dxa"/>
              <w:bottom w:w="90" w:type="dxa"/>
              <w:end w:w="90" w:type="dxa"/>
            </w:tcMar>
            <w:vAlign w:val="center"/>
          </w:tcPr>
          <w:p>
            <w:pPr>
              <w:jc w:val="center"/>
            </w:pPr>
            <w:r>
              <w:rPr>
                <w:rFonts w:ascii="Liberation Sans" w:hAnsi="Liberation Sans"/>
                <w:b/>
                <w:sz w:val="16"/>
              </w:rPr>
              <w:t>280-MPa screen ratio</w:t>
            </w:r>
          </w:p>
        </w:tc>
      </w:tr>
      <w:tr>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12.1</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32</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5,1</w:t>
            </w:r>
          </w:p>
        </w:tc>
        <w:tc>
          <w:tcPr>
            <w:tcW w:type="dxa" w:w="2232"/>
            <w:tcMar>
              <w:top w:w="70" w:type="dxa"/>
              <w:start w:w="80" w:type="dxa"/>
              <w:bottom w:w="70" w:type="dxa"/>
              <w:end w:w="80" w:type="dxa"/>
            </w:tcMar>
            <w:vAlign w:val="center"/>
          </w:tcPr>
          <w:p>
            <w:pPr>
              <w:spacing w:after="0" w:line="240" w:lineRule="auto"/>
              <w:jc w:val="left"/>
            </w:pPr>
            <w:r>
              <w:rPr>
                <w:rFonts w:ascii="Liberation Sans" w:hAnsi="Liberation Sans"/>
                <w:sz w:val="16"/>
              </w:rPr>
              <w:t>54,88</w:t>
            </w:r>
          </w:p>
        </w:tc>
      </w:tr>
      <w:tr>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120</w:t>
            </w:r>
          </w:p>
        </w:tc>
        <w:tc>
          <w:tcPr>
            <w:tcW w:type="dxa" w:w="20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312</w:t>
            </w:r>
          </w:p>
        </w:tc>
        <w:tc>
          <w:tcPr>
            <w:tcW w:type="dxa" w:w="20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50,6</w:t>
            </w:r>
          </w:p>
        </w:tc>
        <w:tc>
          <w:tcPr>
            <w:tcW w:type="dxa" w:w="223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5,53</w:t>
            </w:r>
          </w:p>
        </w:tc>
      </w:tr>
      <w:tr>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300</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781</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126,5</w:t>
            </w:r>
          </w:p>
        </w:tc>
        <w:tc>
          <w:tcPr>
            <w:tcW w:type="dxa" w:w="2232"/>
            <w:tcMar>
              <w:top w:w="70" w:type="dxa"/>
              <w:start w:w="80" w:type="dxa"/>
              <w:bottom w:w="70" w:type="dxa"/>
              <w:end w:w="80" w:type="dxa"/>
            </w:tcMar>
            <w:vAlign w:val="center"/>
          </w:tcPr>
          <w:p>
            <w:pPr>
              <w:spacing w:after="0" w:line="240" w:lineRule="auto"/>
              <w:jc w:val="left"/>
            </w:pPr>
            <w:r>
              <w:rPr>
                <w:rFonts w:ascii="Liberation Sans" w:hAnsi="Liberation Sans"/>
                <w:sz w:val="16"/>
              </w:rPr>
              <w:t>2,21</w:t>
            </w:r>
          </w:p>
        </w:tc>
      </w:tr>
      <w:tr>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550</w:t>
            </w:r>
          </w:p>
        </w:tc>
        <w:tc>
          <w:tcPr>
            <w:tcW w:type="dxa" w:w="20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1.432</w:t>
            </w:r>
          </w:p>
        </w:tc>
        <w:tc>
          <w:tcPr>
            <w:tcW w:type="dxa" w:w="20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231,9</w:t>
            </w:r>
          </w:p>
        </w:tc>
        <w:tc>
          <w:tcPr>
            <w:tcW w:type="dxa" w:w="223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1,21</w:t>
            </w:r>
          </w:p>
        </w:tc>
      </w:tr>
      <w:tr>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725</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1.888</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305,7</w:t>
            </w:r>
          </w:p>
        </w:tc>
        <w:tc>
          <w:tcPr>
            <w:tcW w:type="dxa" w:w="2232"/>
            <w:tcMar>
              <w:top w:w="70" w:type="dxa"/>
              <w:start w:w="80" w:type="dxa"/>
              <w:bottom w:w="70" w:type="dxa"/>
              <w:end w:w="80" w:type="dxa"/>
            </w:tcMar>
            <w:vAlign w:val="center"/>
          </w:tcPr>
          <w:p>
            <w:pPr>
              <w:spacing w:after="0" w:line="240" w:lineRule="auto"/>
              <w:jc w:val="left"/>
            </w:pPr>
            <w:r>
              <w:rPr>
                <w:rFonts w:ascii="Liberation Sans" w:hAnsi="Liberation Sans"/>
                <w:sz w:val="16"/>
              </w:rPr>
              <w:t>0,92</w:t>
            </w:r>
          </w:p>
        </w:tc>
      </w:tr>
    </w:tbl>
    <w:p>
      <w:pPr>
        <w:spacing w:after="40"/>
        <w:widowControl/>
      </w:pPr>
    </w:p>
    <w:p>
      <w:pPr>
        <w:spacing w:after="140" w:line="259" w:lineRule="auto"/>
        <w:widowControl/>
      </w:pPr>
      <w:r>
        <w:rPr>
          <w:rFonts w:ascii="Liberation Serif" w:hAnsi="Liberation Serif"/>
        </w:rPr>
        <w:t>Das sehr einfache 24-Longeron-Biegemodell bleibt bei 550 MNm noch knapp oberhalb eines 1,2-Screeningverhältnisses, überschreitet den 280-MPa-Projektwert aber bei 725 MNm. Lokale Ring-, Knoten-, Beul- und Lastverteilungswirkungen fehlen. Das Ergebnis ist daher kein Nachweis, sondern eine klare Priorisierung von FEA-02 und der Ground-Handling-Architektur.</w:t>
      </w:r>
    </w:p>
    <w:p>
      <w:pPr>
        <w:pStyle w:val="Heading2"/>
        <w:keepNext/>
        <w:widowControl/>
      </w:pPr>
      <w:r>
        <w:rPr>
          <w:rFonts w:ascii="Liberation Serif" w:hAnsi="Liberation Serif"/>
        </w:rPr>
        <w:t>5.9 Globale Eigenfrequenzen und Forcing-Separation</w:t>
      </w:r>
    </w:p>
    <w:tbl>
      <w:tblPr>
        <w:tblStyle w:val="TableGrid"/>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val="true"/>
        </w:trPr>
        <w:tc>
          <w:tcPr>
            <w:tcW w:type="dxa" w:w="1152"/>
            <w:shd w:fill="DCE6ED"/>
            <w:tcMar>
              <w:top w:w="90" w:type="dxa"/>
              <w:start w:w="90" w:type="dxa"/>
              <w:bottom w:w="90" w:type="dxa"/>
              <w:end w:w="90" w:type="dxa"/>
            </w:tcMar>
            <w:vAlign w:val="center"/>
          </w:tcPr>
          <w:p>
            <w:pPr>
              <w:jc w:val="center"/>
            </w:pPr>
            <w:r>
              <w:rPr>
                <w:rFonts w:ascii="Liberation Sans" w:hAnsi="Liberation Sans"/>
                <w:b/>
                <w:sz w:val="16"/>
              </w:rPr>
              <w:t>E-Scale</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Mode 1</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Mode 2</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Mode 3</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Mode 4</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Mode 5</w:t>
            </w:r>
          </w:p>
        </w:tc>
      </w:tr>
      <w:tr>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6"/>
              </w:rPr>
              <w:t>0.7</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0,94</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2,25</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4,06</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6,39</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9,24</w:t>
            </w:r>
          </w:p>
        </w:tc>
      </w:tr>
      <w:tr>
        <w:tc>
          <w:tcPr>
            <w:tcW w:type="dxa" w:w="115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1,13</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2,69</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4,85</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7,64</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11,04</w:t>
            </w:r>
          </w:p>
        </w:tc>
      </w:tr>
      <w:tr>
        <w:tc>
          <w:tcPr>
            <w:tcW w:type="dxa" w:w="1152"/>
            <w:tcMar>
              <w:top w:w="70" w:type="dxa"/>
              <w:start w:w="80" w:type="dxa"/>
              <w:bottom w:w="70" w:type="dxa"/>
              <w:end w:w="80" w:type="dxa"/>
            </w:tcMar>
            <w:vAlign w:val="center"/>
          </w:tcPr>
          <w:p>
            <w:pPr>
              <w:spacing w:after="0" w:line="240" w:lineRule="auto"/>
              <w:jc w:val="left"/>
            </w:pPr>
            <w:r>
              <w:rPr>
                <w:rFonts w:ascii="Liberation Sans" w:hAnsi="Liberation Sans"/>
                <w:sz w:val="16"/>
              </w:rPr>
              <w:t>1.3</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1,29</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3,06</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5,53</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8,71</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12,59</w:t>
            </w:r>
          </w:p>
        </w:tc>
      </w:tr>
    </w:tbl>
    <w:p>
      <w:pPr>
        <w:spacing w:after="40"/>
        <w:widowControl/>
      </w:pPr>
    </w:p>
    <w:p>
      <w:pPr>
        <w:spacing w:after="140" w:line="259" w:lineRule="auto"/>
        <w:widowControl/>
      </w:pPr>
      <w:r>
        <w:rPr>
          <w:rFonts w:ascii="Liberation Serif" w:hAnsi="Liberation Serif"/>
        </w:rPr>
        <w:t>Mit 731,8 t transversaler Added-Mass aus v0.4 und einer aus 24 Longeronlinien homogenisierten Euler-Bernoulli-Struktur liegt der erste globale Biegemodenscreen bei etwa 1,13 Hz für den nominalen E-Wert; ein +/-30-%-Steifigkeitstrade ergibt etwa 0,95 bis 1,29 Hz. Bei 360 rpm liegt Propeller-1P bei 6 Hz und der 6-Blatt-Pass bei 36 Hz. Die ersten Moden sind damit nicht direkt auf 1P/6P, Mode 3 bei etwa 4,85 Hz liegt aber deutlich näher an 1P als die niedrigeren Moden. Vor allem Control-Bandwidth/Flexible-Coupling muss mit FEA-09 und später GVT korreliert werden.</w:t>
      </w:r>
    </w:p>
    <w:p>
      <w:pPr>
        <w:pStyle w:val="Heading2"/>
        <w:keepNext/>
        <w:widowControl/>
      </w:pPr>
      <w:r>
        <w:rPr>
          <w:rFonts w:ascii="Liberation Serif" w:hAnsi="Liberation Serif"/>
        </w:rPr>
        <w:t>5.10 1.500-VDC-Verluste und Fault-Energy</w:t>
      </w:r>
    </w:p>
    <w:tbl>
      <w:tblPr>
        <w:tblStyle w:val="TableGrid"/>
        <w:tblW w:type="auto" w:w="0"/>
        <w:jc w:val="center"/>
        <w:tblLayout w:type="fixed"/>
        <w:tblLook w:firstColumn="1" w:firstRow="1" w:lastColumn="0" w:lastRow="0" w:noHBand="0" w:noVBand="1" w:val="04A0"/>
      </w:tblPr>
      <w:tblGrid>
        <w:gridCol w:w="2016"/>
        <w:gridCol w:w="2016"/>
        <w:gridCol w:w="2016"/>
        <w:gridCol w:w="2016"/>
        <w:gridCol w:w="2016"/>
      </w:tblGrid>
      <w:tr>
        <w:trPr>
          <w:tblHeader w:val="true"/>
        </w:trPr>
        <w:tc>
          <w:tcPr>
            <w:tcW w:type="dxa" w:w="1512"/>
            <w:shd w:fill="DCE6ED"/>
            <w:tcMar>
              <w:top w:w="90" w:type="dxa"/>
              <w:start w:w="90" w:type="dxa"/>
              <w:bottom w:w="90" w:type="dxa"/>
              <w:end w:w="90" w:type="dxa"/>
            </w:tcMar>
            <w:vAlign w:val="center"/>
          </w:tcPr>
          <w:p>
            <w:pPr>
              <w:jc w:val="center"/>
            </w:pPr>
            <w:r>
              <w:rPr>
                <w:rFonts w:ascii="Liberation Sans" w:hAnsi="Liberation Sans"/>
                <w:b/>
                <w:sz w:val="16"/>
              </w:rPr>
              <w:t>L one-way [m]</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I [A]</w:t>
            </w:r>
          </w:p>
        </w:tc>
        <w:tc>
          <w:tcPr>
            <w:tcW w:type="dxa" w:w="1800"/>
            <w:shd w:fill="DCE6ED"/>
            <w:tcMar>
              <w:top w:w="90" w:type="dxa"/>
              <w:start w:w="90" w:type="dxa"/>
              <w:bottom w:w="90" w:type="dxa"/>
              <w:end w:w="90" w:type="dxa"/>
            </w:tcMar>
            <w:vAlign w:val="center"/>
          </w:tcPr>
          <w:p>
            <w:pPr>
              <w:jc w:val="center"/>
            </w:pPr>
            <w:r>
              <w:rPr>
                <w:rFonts w:ascii="Liberation Sans" w:hAnsi="Liberation Sans"/>
                <w:b/>
                <w:sz w:val="16"/>
              </w:rPr>
              <w:t>Delta U pair [V]</w:t>
            </w:r>
          </w:p>
        </w:tc>
        <w:tc>
          <w:tcPr>
            <w:tcW w:type="dxa" w:w="1368"/>
            <w:shd w:fill="DCE6ED"/>
            <w:tcMar>
              <w:top w:w="90" w:type="dxa"/>
              <w:start w:w="90" w:type="dxa"/>
              <w:bottom w:w="90" w:type="dxa"/>
              <w:end w:w="90" w:type="dxa"/>
            </w:tcMar>
            <w:vAlign w:val="center"/>
          </w:tcPr>
          <w:p>
            <w:pPr>
              <w:jc w:val="center"/>
            </w:pPr>
            <w:r>
              <w:rPr>
                <w:rFonts w:ascii="Liberation Sans" w:hAnsi="Liberation Sans"/>
                <w:b/>
                <w:sz w:val="16"/>
              </w:rPr>
              <w:t>Drop [%]</w:t>
            </w:r>
          </w:p>
        </w:tc>
        <w:tc>
          <w:tcPr>
            <w:tcW w:type="dxa" w:w="1512"/>
            <w:shd w:fill="DCE6ED"/>
            <w:tcMar>
              <w:top w:w="90" w:type="dxa"/>
              <w:start w:w="90" w:type="dxa"/>
              <w:bottom w:w="90" w:type="dxa"/>
              <w:end w:w="90" w:type="dxa"/>
            </w:tcMar>
            <w:vAlign w:val="center"/>
          </w:tcPr>
          <w:p>
            <w:pPr>
              <w:jc w:val="center"/>
            </w:pPr>
            <w:r>
              <w:rPr>
                <w:rFonts w:ascii="Liberation Sans" w:hAnsi="Liberation Sans"/>
                <w:b/>
                <w:sz w:val="16"/>
              </w:rPr>
              <w:t>I2R [kW]</w:t>
            </w:r>
          </w:p>
        </w:tc>
      </w:tr>
      <w:tr>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6"/>
              </w:rPr>
              <w:t>100</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1000</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6"/>
              </w:rPr>
              <w:t>4,70</w:t>
            </w:r>
          </w:p>
        </w:tc>
        <w:tc>
          <w:tcPr>
            <w:tcW w:type="dxa" w:w="1368"/>
            <w:tcMar>
              <w:top w:w="70" w:type="dxa"/>
              <w:start w:w="80" w:type="dxa"/>
              <w:bottom w:w="70" w:type="dxa"/>
              <w:end w:w="80" w:type="dxa"/>
            </w:tcMar>
            <w:vAlign w:val="center"/>
          </w:tcPr>
          <w:p>
            <w:pPr>
              <w:spacing w:after="0" w:line="240" w:lineRule="auto"/>
              <w:jc w:val="left"/>
            </w:pPr>
            <w:r>
              <w:rPr>
                <w:rFonts w:ascii="Liberation Sans" w:hAnsi="Liberation Sans"/>
                <w:sz w:val="16"/>
              </w:rPr>
              <w:t>0,31</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6"/>
              </w:rPr>
              <w:t>4,7</w:t>
            </w:r>
          </w:p>
        </w:tc>
      </w:tr>
      <w:tr>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100</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2000</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9,40</w:t>
            </w:r>
          </w:p>
        </w:tc>
        <w:tc>
          <w:tcPr>
            <w:tcW w:type="dxa" w:w="136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0,63</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18,8</w:t>
            </w:r>
          </w:p>
        </w:tc>
      </w:tr>
      <w:tr>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6"/>
              </w:rPr>
              <w:t>175</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1000</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6"/>
              </w:rPr>
              <w:t>8,23</w:t>
            </w:r>
          </w:p>
        </w:tc>
        <w:tc>
          <w:tcPr>
            <w:tcW w:type="dxa" w:w="1368"/>
            <w:tcMar>
              <w:top w:w="70" w:type="dxa"/>
              <w:start w:w="80" w:type="dxa"/>
              <w:bottom w:w="70" w:type="dxa"/>
              <w:end w:w="80" w:type="dxa"/>
            </w:tcMar>
            <w:vAlign w:val="center"/>
          </w:tcPr>
          <w:p>
            <w:pPr>
              <w:spacing w:after="0" w:line="240" w:lineRule="auto"/>
              <w:jc w:val="left"/>
            </w:pPr>
            <w:r>
              <w:rPr>
                <w:rFonts w:ascii="Liberation Sans" w:hAnsi="Liberation Sans"/>
                <w:sz w:val="16"/>
              </w:rPr>
              <w:t>0,55</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6"/>
              </w:rPr>
              <w:t>8,2</w:t>
            </w:r>
          </w:p>
        </w:tc>
      </w:tr>
      <w:tr>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175</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2000</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16,45</w:t>
            </w:r>
          </w:p>
        </w:tc>
        <w:tc>
          <w:tcPr>
            <w:tcW w:type="dxa" w:w="136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1,10</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32,9</w:t>
            </w:r>
          </w:p>
        </w:tc>
      </w:tr>
      <w:tr>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6"/>
              </w:rPr>
              <w:t>350</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1000</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6"/>
              </w:rPr>
              <w:t>16,45</w:t>
            </w:r>
          </w:p>
        </w:tc>
        <w:tc>
          <w:tcPr>
            <w:tcW w:type="dxa" w:w="1368"/>
            <w:tcMar>
              <w:top w:w="70" w:type="dxa"/>
              <w:start w:w="80" w:type="dxa"/>
              <w:bottom w:w="70" w:type="dxa"/>
              <w:end w:w="80" w:type="dxa"/>
            </w:tcMar>
            <w:vAlign w:val="center"/>
          </w:tcPr>
          <w:p>
            <w:pPr>
              <w:spacing w:after="0" w:line="240" w:lineRule="auto"/>
              <w:jc w:val="left"/>
            </w:pPr>
            <w:r>
              <w:rPr>
                <w:rFonts w:ascii="Liberation Sans" w:hAnsi="Liberation Sans"/>
                <w:sz w:val="16"/>
              </w:rPr>
              <w:t>1,10</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6"/>
              </w:rPr>
              <w:t>16,5</w:t>
            </w:r>
          </w:p>
        </w:tc>
      </w:tr>
      <w:tr>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350</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2000</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32,90</w:t>
            </w:r>
          </w:p>
        </w:tc>
        <w:tc>
          <w:tcPr>
            <w:tcW w:type="dxa" w:w="136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2,19</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65,8</w:t>
            </w:r>
          </w:p>
        </w:tc>
      </w:tr>
    </w:tbl>
    <w:p>
      <w:pPr>
        <w:spacing w:after="40"/>
        <w:widowControl/>
      </w:pP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016"/>
            <w:shd w:fill="DCE6ED"/>
            <w:tcMar>
              <w:top w:w="90" w:type="dxa"/>
              <w:start w:w="90" w:type="dxa"/>
              <w:bottom w:w="90" w:type="dxa"/>
              <w:end w:w="90" w:type="dxa"/>
            </w:tcMar>
            <w:vAlign w:val="center"/>
          </w:tcPr>
          <w:p>
            <w:pPr>
              <w:jc w:val="center"/>
            </w:pPr>
            <w:r>
              <w:rPr>
                <w:rFonts w:ascii="Liberation Sans" w:hAnsi="Liberation Sans"/>
                <w:b/>
                <w:sz w:val="16"/>
              </w:rPr>
              <w:t>Clearing [ms]</w:t>
            </w:r>
          </w:p>
        </w:tc>
        <w:tc>
          <w:tcPr>
            <w:tcW w:type="dxa" w:w="2160"/>
            <w:shd w:fill="DCE6ED"/>
            <w:tcMar>
              <w:top w:w="90" w:type="dxa"/>
              <w:start w:w="90" w:type="dxa"/>
              <w:bottom w:w="90" w:type="dxa"/>
              <w:end w:w="90" w:type="dxa"/>
            </w:tcMar>
            <w:vAlign w:val="center"/>
          </w:tcPr>
          <w:p>
            <w:pPr>
              <w:jc w:val="center"/>
            </w:pPr>
            <w:r>
              <w:rPr>
                <w:rFonts w:ascii="Liberation Sans" w:hAnsi="Liberation Sans"/>
                <w:b/>
                <w:sz w:val="16"/>
              </w:rPr>
              <w:t>V*I*t [kJ]</w:t>
            </w:r>
          </w:p>
        </w:tc>
        <w:tc>
          <w:tcPr>
            <w:tcW w:type="dxa" w:w="2880"/>
            <w:shd w:fill="DCE6ED"/>
            <w:tcMar>
              <w:top w:w="90" w:type="dxa"/>
              <w:start w:w="90" w:type="dxa"/>
              <w:bottom w:w="90" w:type="dxa"/>
              <w:end w:w="90" w:type="dxa"/>
            </w:tcMar>
            <w:vAlign w:val="center"/>
          </w:tcPr>
          <w:p>
            <w:pPr>
              <w:jc w:val="center"/>
            </w:pPr>
            <w:r>
              <w:rPr>
                <w:rFonts w:ascii="Liberation Sans" w:hAnsi="Liberation Sans"/>
                <w:b/>
                <w:sz w:val="16"/>
              </w:rPr>
              <w:t>I2t [A2s]</w:t>
            </w:r>
          </w:p>
        </w:tc>
      </w:tr>
      <w:tr>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1</w:t>
            </w:r>
          </w:p>
        </w:tc>
        <w:tc>
          <w:tcPr>
            <w:tcW w:type="dxa" w:w="2160"/>
            <w:tcMar>
              <w:top w:w="70" w:type="dxa"/>
              <w:start w:w="80" w:type="dxa"/>
              <w:bottom w:w="70" w:type="dxa"/>
              <w:end w:w="80" w:type="dxa"/>
            </w:tcMar>
            <w:vAlign w:val="center"/>
          </w:tcPr>
          <w:p>
            <w:pPr>
              <w:spacing w:after="0" w:line="240" w:lineRule="auto"/>
              <w:jc w:val="left"/>
            </w:pPr>
            <w:r>
              <w:rPr>
                <w:rFonts w:ascii="Liberation Sans" w:hAnsi="Liberation Sans"/>
                <w:sz w:val="16"/>
              </w:rPr>
              <w:t>45,7</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9.284e+05</w:t>
            </w:r>
          </w:p>
        </w:tc>
      </w:tr>
      <w:tr>
        <w:tc>
          <w:tcPr>
            <w:tcW w:type="dxa" w:w="201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w:t>
            </w:r>
          </w:p>
        </w:tc>
        <w:tc>
          <w:tcPr>
            <w:tcW w:type="dxa" w:w="216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91,4</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1.857e+06</w:t>
            </w:r>
          </w:p>
        </w:tc>
      </w:tr>
      <w:tr>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3</w:t>
            </w:r>
          </w:p>
        </w:tc>
        <w:tc>
          <w:tcPr>
            <w:tcW w:type="dxa" w:w="2160"/>
            <w:tcMar>
              <w:top w:w="70" w:type="dxa"/>
              <w:start w:w="80" w:type="dxa"/>
              <w:bottom w:w="70" w:type="dxa"/>
              <w:end w:w="80" w:type="dxa"/>
            </w:tcMar>
            <w:vAlign w:val="center"/>
          </w:tcPr>
          <w:p>
            <w:pPr>
              <w:spacing w:after="0" w:line="240" w:lineRule="auto"/>
              <w:jc w:val="left"/>
            </w:pPr>
            <w:r>
              <w:rPr>
                <w:rFonts w:ascii="Liberation Sans" w:hAnsi="Liberation Sans"/>
                <w:sz w:val="16"/>
              </w:rPr>
              <w:t>137,1</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2.785e+06</w:t>
            </w:r>
          </w:p>
        </w:tc>
      </w:tr>
      <w:tr>
        <w:tc>
          <w:tcPr>
            <w:tcW w:type="dxa" w:w="201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w:t>
            </w:r>
          </w:p>
        </w:tc>
        <w:tc>
          <w:tcPr>
            <w:tcW w:type="dxa" w:w="216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228,5</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4.642e+06</w:t>
            </w:r>
          </w:p>
        </w:tc>
      </w:tr>
      <w:tr>
        <w:tc>
          <w:tcPr>
            <w:tcW w:type="dxa" w:w="2016"/>
            <w:tcMar>
              <w:top w:w="70" w:type="dxa"/>
              <w:start w:w="80" w:type="dxa"/>
              <w:bottom w:w="70" w:type="dxa"/>
              <w:end w:w="80" w:type="dxa"/>
            </w:tcMar>
            <w:vAlign w:val="center"/>
          </w:tcPr>
          <w:p>
            <w:pPr>
              <w:spacing w:after="0" w:line="240" w:lineRule="auto"/>
              <w:jc w:val="left"/>
            </w:pPr>
            <w:r>
              <w:rPr>
                <w:rFonts w:ascii="Liberation Sans" w:hAnsi="Liberation Sans"/>
                <w:sz w:val="16"/>
              </w:rPr>
              <w:t>10</w:t>
            </w:r>
          </w:p>
        </w:tc>
        <w:tc>
          <w:tcPr>
            <w:tcW w:type="dxa" w:w="2160"/>
            <w:tcMar>
              <w:top w:w="70" w:type="dxa"/>
              <w:start w:w="80" w:type="dxa"/>
              <w:bottom w:w="70" w:type="dxa"/>
              <w:end w:w="80" w:type="dxa"/>
            </w:tcMar>
            <w:vAlign w:val="center"/>
          </w:tcPr>
          <w:p>
            <w:pPr>
              <w:spacing w:after="0" w:line="240" w:lineRule="auto"/>
              <w:jc w:val="left"/>
            </w:pPr>
            <w:r>
              <w:rPr>
                <w:rFonts w:ascii="Liberation Sans" w:hAnsi="Liberation Sans"/>
                <w:sz w:val="16"/>
              </w:rPr>
              <w:t>457,1</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6"/>
              </w:rPr>
              <w:t>9.284e+06</w:t>
            </w:r>
          </w:p>
        </w:tc>
      </w:tr>
    </w:tbl>
    <w:p>
      <w:pPr>
        <w:spacing w:after="40"/>
        <w:widowControl/>
      </w:pPr>
    </w:p>
    <w:p>
      <w:pPr>
        <w:spacing w:after="140" w:line="259" w:lineRule="auto"/>
        <w:widowControl/>
      </w:pPr>
      <w:r>
        <w:rPr>
          <w:rFonts w:ascii="Liberation Serif" w:hAnsi="Liberation Serif"/>
        </w:rPr>
        <w:t>Für 1.200 mm2 Aluminium je Polarität liefert der einfache Leiterscreen bei 175 m one-way und 2.000 A etwa 16,45 V Spannungsabfall bzw. 1,10 % und 32,9 kW Paarverlust. Bei 350 m sind es rund 32,9 V bzw. 2,19 % und 65,8 kW. Die Fehlerenergie skaliert direkt mit der Clearing-Zeit: 3 ms ergeben etwa 137 kJ, 10 ms bereits 457 kJ. Das macht nachweisbare Selectivity, Sensorlatenz, Pyrofuse-/Contactor-Dynamik und Partial-Discharge-/Insulation-Coordination zu harten Hardware-Gates.</w:t>
      </w:r>
    </w:p>
    <w:p>
      <w:pPr>
        <w:pStyle w:val="Heading2"/>
        <w:keepNext/>
        <w:widowControl/>
      </w:pPr>
      <w:r>
        <w:rPr>
          <w:rFonts w:ascii="Liberation Serif" w:hAnsi="Liberation Serif"/>
        </w:rPr>
        <w:t>5.11 H2-Ventilations-Bounds</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1728"/>
            <w:shd w:fill="DCE6ED"/>
            <w:tcMar>
              <w:top w:w="90" w:type="dxa"/>
              <w:start w:w="90" w:type="dxa"/>
              <w:bottom w:w="90" w:type="dxa"/>
              <w:end w:w="90" w:type="dxa"/>
            </w:tcMar>
            <w:vAlign w:val="center"/>
          </w:tcPr>
          <w:p>
            <w:pPr>
              <w:jc w:val="center"/>
            </w:pPr>
            <w:r>
              <w:rPr>
                <w:rFonts w:ascii="Liberation Sans" w:hAnsi="Liberation Sans"/>
                <w:b/>
                <w:sz w:val="16"/>
              </w:rPr>
              <w:t>H2 leak [g/s]</w:t>
            </w:r>
          </w:p>
        </w:tc>
        <w:tc>
          <w:tcPr>
            <w:tcW w:type="dxa" w:w="1656"/>
            <w:shd w:fill="DCE6ED"/>
            <w:tcMar>
              <w:top w:w="90" w:type="dxa"/>
              <w:start w:w="90" w:type="dxa"/>
              <w:bottom w:w="90" w:type="dxa"/>
              <w:end w:w="90" w:type="dxa"/>
            </w:tcMar>
            <w:vAlign w:val="center"/>
          </w:tcPr>
          <w:p>
            <w:pPr>
              <w:jc w:val="center"/>
            </w:pPr>
            <w:r>
              <w:rPr>
                <w:rFonts w:ascii="Liberation Sans" w:hAnsi="Liberation Sans"/>
                <w:b/>
                <w:sz w:val="16"/>
              </w:rPr>
              <w:t>Target [vol-%]</w:t>
            </w:r>
          </w:p>
        </w:tc>
        <w:tc>
          <w:tcPr>
            <w:tcW w:type="dxa" w:w="2376"/>
            <w:shd w:fill="DCE6ED"/>
            <w:tcMar>
              <w:top w:w="90" w:type="dxa"/>
              <w:start w:w="90" w:type="dxa"/>
              <w:bottom w:w="90" w:type="dxa"/>
              <w:end w:w="90" w:type="dxa"/>
            </w:tcMar>
            <w:vAlign w:val="center"/>
          </w:tcPr>
          <w:p>
            <w:pPr>
              <w:jc w:val="center"/>
            </w:pPr>
            <w:r>
              <w:rPr>
                <w:rFonts w:ascii="Liberation Sans" w:hAnsi="Liberation Sans"/>
                <w:b/>
                <w:sz w:val="16"/>
              </w:rPr>
              <w:t>Perfect-mix Q [m3/s]</w:t>
            </w:r>
          </w:p>
        </w:tc>
        <w:tc>
          <w:tcPr>
            <w:tcW w:type="dxa" w:w="2088"/>
            <w:shd w:fill="DCE6ED"/>
            <w:tcMar>
              <w:top w:w="90" w:type="dxa"/>
              <w:start w:w="90" w:type="dxa"/>
              <w:bottom w:w="90" w:type="dxa"/>
              <w:end w:w="90" w:type="dxa"/>
            </w:tcMar>
            <w:vAlign w:val="center"/>
          </w:tcPr>
          <w:p>
            <w:pPr>
              <w:jc w:val="center"/>
            </w:pPr>
            <w:r>
              <w:rPr>
                <w:rFonts w:ascii="Liberation Sans" w:hAnsi="Liberation Sans"/>
                <w:b/>
                <w:sz w:val="16"/>
              </w:rPr>
              <w:t>Q [m3/h]</w:t>
            </w:r>
          </w:p>
        </w:tc>
      </w:tr>
      <w:tr>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1</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1.0</w:t>
            </w:r>
          </w:p>
        </w:tc>
        <w:tc>
          <w:tcPr>
            <w:tcW w:type="dxa" w:w="2376"/>
            <w:tcMar>
              <w:top w:w="70" w:type="dxa"/>
              <w:start w:w="80" w:type="dxa"/>
              <w:bottom w:w="70" w:type="dxa"/>
              <w:end w:w="80" w:type="dxa"/>
            </w:tcMar>
            <w:vAlign w:val="center"/>
          </w:tcPr>
          <w:p>
            <w:pPr>
              <w:spacing w:after="0" w:line="240" w:lineRule="auto"/>
              <w:jc w:val="left"/>
            </w:pPr>
            <w:r>
              <w:rPr>
                <w:rFonts w:ascii="Liberation Sans" w:hAnsi="Liberation Sans"/>
                <w:sz w:val="16"/>
              </w:rPr>
              <w:t>1,19</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4.296</w:t>
            </w:r>
          </w:p>
        </w:tc>
      </w:tr>
      <w:tr>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4.0</w:t>
            </w:r>
          </w:p>
        </w:tc>
        <w:tc>
          <w:tcPr>
            <w:tcW w:type="dxa" w:w="237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0,30</w:t>
            </w:r>
          </w:p>
        </w:tc>
        <w:tc>
          <w:tcPr>
            <w:tcW w:type="dxa" w:w="20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1.074</w:t>
            </w:r>
          </w:p>
        </w:tc>
      </w:tr>
      <w:tr>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10</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1.0</w:t>
            </w:r>
          </w:p>
        </w:tc>
        <w:tc>
          <w:tcPr>
            <w:tcW w:type="dxa" w:w="2376"/>
            <w:tcMar>
              <w:top w:w="70" w:type="dxa"/>
              <w:start w:w="80" w:type="dxa"/>
              <w:bottom w:w="70" w:type="dxa"/>
              <w:end w:w="80" w:type="dxa"/>
            </w:tcMar>
            <w:vAlign w:val="center"/>
          </w:tcPr>
          <w:p>
            <w:pPr>
              <w:spacing w:after="0" w:line="240" w:lineRule="auto"/>
              <w:jc w:val="left"/>
            </w:pPr>
            <w:r>
              <w:rPr>
                <w:rFonts w:ascii="Liberation Sans" w:hAnsi="Liberation Sans"/>
                <w:sz w:val="16"/>
              </w:rPr>
              <w:t>11,93</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42.958</w:t>
            </w:r>
          </w:p>
        </w:tc>
      </w:tr>
      <w:tr>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4.0</w:t>
            </w:r>
          </w:p>
        </w:tc>
        <w:tc>
          <w:tcPr>
            <w:tcW w:type="dxa" w:w="237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2,98</w:t>
            </w:r>
          </w:p>
        </w:tc>
        <w:tc>
          <w:tcPr>
            <w:tcW w:type="dxa" w:w="20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10.740</w:t>
            </w:r>
          </w:p>
        </w:tc>
      </w:tr>
      <w:tr>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100</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1.0</w:t>
            </w:r>
          </w:p>
        </w:tc>
        <w:tc>
          <w:tcPr>
            <w:tcW w:type="dxa" w:w="2376"/>
            <w:tcMar>
              <w:top w:w="70" w:type="dxa"/>
              <w:start w:w="80" w:type="dxa"/>
              <w:bottom w:w="70" w:type="dxa"/>
              <w:end w:w="80" w:type="dxa"/>
            </w:tcMar>
            <w:vAlign w:val="center"/>
          </w:tcPr>
          <w:p>
            <w:pPr>
              <w:spacing w:after="0" w:line="240" w:lineRule="auto"/>
              <w:jc w:val="left"/>
            </w:pPr>
            <w:r>
              <w:rPr>
                <w:rFonts w:ascii="Liberation Sans" w:hAnsi="Liberation Sans"/>
                <w:sz w:val="16"/>
              </w:rPr>
              <w:t>119,33</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429.581</w:t>
            </w:r>
          </w:p>
        </w:tc>
      </w:tr>
      <w:tr>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100</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4.0</w:t>
            </w:r>
          </w:p>
        </w:tc>
        <w:tc>
          <w:tcPr>
            <w:tcW w:type="dxa" w:w="237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29,83</w:t>
            </w:r>
          </w:p>
        </w:tc>
        <w:tc>
          <w:tcPr>
            <w:tcW w:type="dxa" w:w="20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107.395</w:t>
            </w:r>
          </w:p>
        </w:tc>
      </w:tr>
    </w:tbl>
    <w:p>
      <w:pPr>
        <w:spacing w:after="40"/>
        <w:widowControl/>
      </w:pPr>
    </w:p>
    <w:p>
      <w:pPr>
        <w:spacing w:after="140" w:line="259" w:lineRule="auto"/>
        <w:widowControl/>
      </w:pPr>
      <w:r>
        <w:rPr>
          <w:rFonts w:ascii="Liberation Serif" w:hAnsi="Liberation Serif"/>
        </w:rPr>
        <w:t>Der Perfect-Mix-Bound ist absichtlich keine reale Strömungssimulation. Schon 10 g/s H2 verlangen rechnerisch etwa 11,9 m3/s Luft, um ein ideal durchmischtes Volumen unter 1 vol-% zu halten; bei 100 g/s wären es rund 119 m3/s. Reale H2-Plumes sind stark auftriebsgetrieben und können lokal höhere Konzentrationen bilden. Die Tabelle ist deshalb ein Anlagen-/Ventilations-Größenordnungscheck und begründet CFD-11 sowie TEST-08.</w:t>
      </w:r>
    </w:p>
    <w:p>
      <w:pPr>
        <w:pStyle w:val="Heading2"/>
        <w:keepNext/>
        <w:widowControl/>
      </w:pPr>
      <w:r>
        <w:rPr>
          <w:rFonts w:ascii="Liberation Serif" w:hAnsi="Liberation Serif"/>
        </w:rPr>
        <w:t>5.12 LH2-Feed und Boil-off</w:t>
      </w:r>
    </w:p>
    <w:tbl>
      <w:tblPr>
        <w:tblStyle w:val="TableGrid"/>
        <w:tblW w:type="auto" w:w="0"/>
        <w:jc w:val="center"/>
        <w:tblLayout w:type="fixed"/>
        <w:tblLook w:firstColumn="1" w:firstRow="1" w:lastColumn="0" w:lastRow="0" w:noHBand="0" w:noVBand="1" w:val="04A0"/>
      </w:tblPr>
      <w:tblGrid>
        <w:gridCol w:w="2016"/>
        <w:gridCol w:w="2016"/>
        <w:gridCol w:w="2016"/>
        <w:gridCol w:w="2016"/>
        <w:gridCol w:w="2016"/>
      </w:tblGrid>
      <w:tr>
        <w:trPr>
          <w:tblHeader w:val="true"/>
        </w:trPr>
        <w:tc>
          <w:tcPr>
            <w:tcW w:type="dxa" w:w="1080"/>
            <w:shd w:fill="DCE6ED"/>
            <w:tcMar>
              <w:top w:w="90" w:type="dxa"/>
              <w:start w:w="90" w:type="dxa"/>
              <w:bottom w:w="90" w:type="dxa"/>
              <w:end w:w="90" w:type="dxa"/>
            </w:tcMar>
            <w:vAlign w:val="center"/>
          </w:tcPr>
          <w:p>
            <w:pPr>
              <w:jc w:val="center"/>
            </w:pPr>
            <w:r>
              <w:rPr>
                <w:rFonts w:ascii="Liberation Sans" w:hAnsi="Liberation Sans"/>
                <w:b/>
                <w:sz w:val="16"/>
              </w:rPr>
              <w:t>L [m]</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Flow factor</w:t>
            </w:r>
          </w:p>
        </w:tc>
        <w:tc>
          <w:tcPr>
            <w:tcW w:type="dxa" w:w="2088"/>
            <w:shd w:fill="DCE6ED"/>
            <w:tcMar>
              <w:top w:w="90" w:type="dxa"/>
              <w:start w:w="90" w:type="dxa"/>
              <w:bottom w:w="90" w:type="dxa"/>
              <w:end w:w="90" w:type="dxa"/>
            </w:tcMar>
            <w:vAlign w:val="center"/>
          </w:tcPr>
          <w:p>
            <w:pPr>
              <w:jc w:val="center"/>
            </w:pPr>
            <w:r>
              <w:rPr>
                <w:rFonts w:ascii="Liberation Sans" w:hAnsi="Liberation Sans"/>
                <w:b/>
                <w:sz w:val="16"/>
              </w:rPr>
              <w:t>m_dot/line [kg/s]</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v [m/s]</w:t>
            </w:r>
          </w:p>
        </w:tc>
        <w:tc>
          <w:tcPr>
            <w:tcW w:type="dxa" w:w="1656"/>
            <w:shd w:fill="DCE6ED"/>
            <w:tcMar>
              <w:top w:w="90" w:type="dxa"/>
              <w:start w:w="90" w:type="dxa"/>
              <w:bottom w:w="90" w:type="dxa"/>
              <w:end w:w="90" w:type="dxa"/>
            </w:tcMar>
            <w:vAlign w:val="center"/>
          </w:tcPr>
          <w:p>
            <w:pPr>
              <w:jc w:val="center"/>
            </w:pPr>
            <w:r>
              <w:rPr>
                <w:rFonts w:ascii="Liberation Sans" w:hAnsi="Liberation Sans"/>
                <w:b/>
                <w:sz w:val="16"/>
              </w:rPr>
              <w:t>Darcy dp [kPa]</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6"/>
              </w:rPr>
              <w:t>50</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0,0309</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0,54</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0,327</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50</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w:t>
            </w:r>
          </w:p>
        </w:tc>
        <w:tc>
          <w:tcPr>
            <w:tcW w:type="dxa" w:w="20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0,0619</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1,09</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1,307</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6"/>
              </w:rPr>
              <w:t>100</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w:t>
            </w:r>
          </w:p>
        </w:tc>
        <w:tc>
          <w:tcPr>
            <w:tcW w:type="dxa" w:w="2088"/>
            <w:tcMar>
              <w:top w:w="70" w:type="dxa"/>
              <w:start w:w="80" w:type="dxa"/>
              <w:bottom w:w="70" w:type="dxa"/>
              <w:end w:w="80" w:type="dxa"/>
            </w:tcMar>
            <w:vAlign w:val="center"/>
          </w:tcPr>
          <w:p>
            <w:pPr>
              <w:spacing w:after="0" w:line="240" w:lineRule="auto"/>
              <w:jc w:val="left"/>
            </w:pPr>
            <w:r>
              <w:rPr>
                <w:rFonts w:ascii="Liberation Sans" w:hAnsi="Liberation Sans"/>
                <w:sz w:val="16"/>
              </w:rPr>
              <w:t>0,0309</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0,54</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0,654</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100</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w:t>
            </w:r>
          </w:p>
        </w:tc>
        <w:tc>
          <w:tcPr>
            <w:tcW w:type="dxa" w:w="208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0,0619</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1,09</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2,615</w:t>
            </w:r>
          </w:p>
        </w:tc>
      </w:tr>
    </w:tbl>
    <w:p>
      <w:pPr>
        <w:spacing w:after="40"/>
        <w:widowControl/>
      </w:pP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1656"/>
            <w:shd w:fill="DCE6ED"/>
            <w:tcMar>
              <w:top w:w="90" w:type="dxa"/>
              <w:start w:w="90" w:type="dxa"/>
              <w:bottom w:w="90" w:type="dxa"/>
              <w:end w:w="90" w:type="dxa"/>
            </w:tcMar>
            <w:vAlign w:val="center"/>
          </w:tcPr>
          <w:p>
            <w:pPr>
              <w:jc w:val="center"/>
            </w:pPr>
            <w:r>
              <w:rPr>
                <w:rFonts w:ascii="Liberation Sans" w:hAnsi="Liberation Sans"/>
                <w:b/>
                <w:sz w:val="16"/>
              </w:rPr>
              <w:t>q_net [W/m2]</w:t>
            </w:r>
          </w:p>
        </w:tc>
        <w:tc>
          <w:tcPr>
            <w:tcW w:type="dxa" w:w="2304"/>
            <w:shd w:fill="DCE6ED"/>
            <w:tcMar>
              <w:top w:w="90" w:type="dxa"/>
              <w:start w:w="90" w:type="dxa"/>
              <w:bottom w:w="90" w:type="dxa"/>
              <w:end w:w="90" w:type="dxa"/>
            </w:tcMar>
            <w:vAlign w:val="center"/>
          </w:tcPr>
          <w:p>
            <w:pPr>
              <w:jc w:val="center"/>
            </w:pPr>
            <w:r>
              <w:rPr>
                <w:rFonts w:ascii="Liberation Sans" w:hAnsi="Liberation Sans"/>
                <w:b/>
                <w:sz w:val="16"/>
              </w:rPr>
              <w:t>BOG beide Tanks [kg/h]</w:t>
            </w:r>
          </w:p>
        </w:tc>
        <w:tc>
          <w:tcPr>
            <w:tcW w:type="dxa" w:w="1872"/>
            <w:shd w:fill="DCE6ED"/>
            <w:tcMar>
              <w:top w:w="90" w:type="dxa"/>
              <w:start w:w="90" w:type="dxa"/>
              <w:bottom w:w="90" w:type="dxa"/>
              <w:end w:w="90" w:type="dxa"/>
            </w:tcMar>
            <w:vAlign w:val="center"/>
          </w:tcPr>
          <w:p>
            <w:pPr>
              <w:jc w:val="center"/>
            </w:pPr>
            <w:r>
              <w:rPr>
                <w:rFonts w:ascii="Liberation Sans" w:hAnsi="Liberation Sans"/>
                <w:b/>
                <w:sz w:val="16"/>
              </w:rPr>
              <w:t>% von 8 t / Tag</w:t>
            </w:r>
          </w:p>
        </w:tc>
        <w:tc>
          <w:tcPr>
            <w:tcW w:type="dxa" w:w="1440"/>
            <w:shd w:fill="DCE6ED"/>
            <w:tcMar>
              <w:top w:w="90" w:type="dxa"/>
              <w:start w:w="90" w:type="dxa"/>
              <w:bottom w:w="90" w:type="dxa"/>
              <w:end w:w="90" w:type="dxa"/>
            </w:tcMar>
            <w:vAlign w:val="center"/>
          </w:tcPr>
          <w:p>
            <w:pPr>
              <w:jc w:val="center"/>
            </w:pPr>
            <w:r>
              <w:rPr>
                <w:rFonts w:ascii="Liberation Sans" w:hAnsi="Liberation Sans"/>
                <w:b/>
                <w:sz w:val="16"/>
              </w:rPr>
              <w:t>25h [kg]</w:t>
            </w:r>
          </w:p>
        </w:tc>
      </w:tr>
      <w:tr>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0.5</w:t>
            </w:r>
          </w:p>
        </w:tc>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0,68</w:t>
            </w:r>
          </w:p>
        </w:tc>
        <w:tc>
          <w:tcPr>
            <w:tcW w:type="dxa" w:w="1872"/>
            <w:tcMar>
              <w:top w:w="70" w:type="dxa"/>
              <w:start w:w="80" w:type="dxa"/>
              <w:bottom w:w="70" w:type="dxa"/>
              <w:end w:w="80" w:type="dxa"/>
            </w:tcMar>
            <w:vAlign w:val="center"/>
          </w:tcPr>
          <w:p>
            <w:pPr>
              <w:spacing w:after="0" w:line="240" w:lineRule="auto"/>
              <w:jc w:val="left"/>
            </w:pPr>
            <w:r>
              <w:rPr>
                <w:rFonts w:ascii="Liberation Sans" w:hAnsi="Liberation Sans"/>
                <w:sz w:val="16"/>
              </w:rPr>
              <w:t>0,20</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16,9</w:t>
            </w:r>
          </w:p>
        </w:tc>
      </w:tr>
      <w:tr>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w:t>
            </w:r>
          </w:p>
        </w:tc>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1,35</w:t>
            </w:r>
          </w:p>
        </w:tc>
        <w:tc>
          <w:tcPr>
            <w:tcW w:type="dxa" w:w="187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0,41</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33,9</w:t>
            </w:r>
          </w:p>
        </w:tc>
      </w:tr>
      <w:tr>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2.5</w:t>
            </w:r>
          </w:p>
        </w:tc>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3,39</w:t>
            </w:r>
          </w:p>
        </w:tc>
        <w:tc>
          <w:tcPr>
            <w:tcW w:type="dxa" w:w="1872"/>
            <w:tcMar>
              <w:top w:w="70" w:type="dxa"/>
              <w:start w:w="80" w:type="dxa"/>
              <w:bottom w:w="70" w:type="dxa"/>
              <w:end w:w="80" w:type="dxa"/>
            </w:tcMar>
            <w:vAlign w:val="center"/>
          </w:tcPr>
          <w:p>
            <w:pPr>
              <w:spacing w:after="0" w:line="240" w:lineRule="auto"/>
              <w:jc w:val="left"/>
            </w:pPr>
            <w:r>
              <w:rPr>
                <w:rFonts w:ascii="Liberation Sans" w:hAnsi="Liberation Sans"/>
                <w:sz w:val="16"/>
              </w:rPr>
              <w:t>1,02</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84,6</w:t>
            </w:r>
          </w:p>
        </w:tc>
      </w:tr>
      <w:tr>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5</w:t>
            </w:r>
          </w:p>
        </w:tc>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6,77</w:t>
            </w:r>
          </w:p>
        </w:tc>
        <w:tc>
          <w:tcPr>
            <w:tcW w:type="dxa" w:w="187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2,03</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169,3</w:t>
            </w:r>
          </w:p>
        </w:tc>
      </w:tr>
      <w:tr>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10</w:t>
            </w:r>
          </w:p>
        </w:tc>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13,54</w:t>
            </w:r>
          </w:p>
        </w:tc>
        <w:tc>
          <w:tcPr>
            <w:tcW w:type="dxa" w:w="1872"/>
            <w:tcMar>
              <w:top w:w="70" w:type="dxa"/>
              <w:start w:w="80" w:type="dxa"/>
              <w:bottom w:w="70" w:type="dxa"/>
              <w:end w:w="80" w:type="dxa"/>
            </w:tcMar>
            <w:vAlign w:val="center"/>
          </w:tcPr>
          <w:p>
            <w:pPr>
              <w:spacing w:after="0" w:line="240" w:lineRule="auto"/>
              <w:jc w:val="left"/>
            </w:pPr>
            <w:r>
              <w:rPr>
                <w:rFonts w:ascii="Liberation Sans" w:hAnsi="Liberation Sans"/>
                <w:sz w:val="16"/>
              </w:rPr>
              <w:t>4,06</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338,6</w:t>
            </w:r>
          </w:p>
        </w:tc>
      </w:tr>
      <w:tr>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20</w:t>
            </w:r>
          </w:p>
        </w:tc>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27,08</w:t>
            </w:r>
          </w:p>
        </w:tc>
        <w:tc>
          <w:tcPr>
            <w:tcW w:type="dxa" w:w="1872"/>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8,13</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677,1</w:t>
            </w:r>
          </w:p>
        </w:tc>
      </w:tr>
    </w:tbl>
    <w:p>
      <w:pPr>
        <w:spacing w:after="40"/>
        <w:widowControl/>
      </w:pPr>
    </w:p>
    <w:p>
      <w:pPr>
        <w:spacing w:after="140" w:line="259" w:lineRule="auto"/>
        <w:widowControl/>
      </w:pPr>
      <w:r>
        <w:rPr>
          <w:rFonts w:ascii="Liberation Serif" w:hAnsi="Liberation Serif"/>
        </w:rPr>
        <w:t>Bei der v0.8-Cruise-Größenordnung von 0,0619 kg/s Gesamt-H2-Massenstrom ergeben zwei 32-mm-ID-Feeds rechnerisch nur etwa 0,54 m/s je Leitung und im einfachen Darcy-Modell geringe lineare Druckverluste. Das ist kein Kryonetz-Nachweis: Fittings, Phasenwechsel, Chill-down, Flashing, Ventil-Cv, Pump-/Druckaufbau und Transienten fehlen. Der Boil-off-Sweep zeigt gleichzeitig die hohe Bedeutung des effektiven Wärmeflusses: 5 W/m2 entsprechen rund 6,77 kg/h über beide Tanks bzw. etwa 169 kg über 25 h.</w:t>
      </w:r>
    </w:p>
    <w:p>
      <w:pPr>
        <w:pStyle w:val="Heading2"/>
        <w:keepNext/>
        <w:widowControl/>
      </w:pPr>
      <w:r>
        <w:rPr>
          <w:rFonts w:ascii="Liberation Serif" w:hAnsi="Liberation Serif"/>
        </w:rPr>
        <w:t>5.13 Evakuierung und blockierte Kerne</w:t>
      </w:r>
    </w:p>
    <w:tbl>
      <w:tblPr>
        <w:tblStyle w:val="TableGrid"/>
        <w:tblW w:type="auto" w:w="0"/>
        <w:jc w:val="center"/>
        <w:tblLayout w:type="fixed"/>
        <w:tblLook w:firstColumn="1" w:firstRow="1" w:lastColumn="0" w:lastRow="0" w:noHBand="0" w:noVBand="1" w:val="04A0"/>
      </w:tblPr>
      <w:tblGrid>
        <w:gridCol w:w="2016"/>
        <w:gridCol w:w="2016"/>
        <w:gridCol w:w="2016"/>
        <w:gridCol w:w="2016"/>
        <w:gridCol w:w="2016"/>
      </w:tblGrid>
      <w:tr>
        <w:trPr>
          <w:tblHeader w:val="true"/>
        </w:trPr>
        <w:tc>
          <w:tcPr>
            <w:tcW w:type="dxa" w:w="2304"/>
            <w:shd w:fill="DCE6ED"/>
            <w:tcMar>
              <w:top w:w="90" w:type="dxa"/>
              <w:start w:w="90" w:type="dxa"/>
              <w:bottom w:w="90" w:type="dxa"/>
              <w:end w:w="90" w:type="dxa"/>
            </w:tcMar>
            <w:vAlign w:val="center"/>
          </w:tcPr>
          <w:p>
            <w:pPr>
              <w:jc w:val="center"/>
            </w:pPr>
            <w:r>
              <w:rPr>
                <w:rFonts w:ascii="Liberation Sans" w:hAnsi="Liberation Sans"/>
                <w:b/>
                <w:sz w:val="16"/>
              </w:rPr>
              <w:t>ganze Kerne nicht verfügbar</w:t>
            </w:r>
          </w:p>
        </w:tc>
        <w:tc>
          <w:tcPr>
            <w:tcW w:type="dxa" w:w="1440"/>
            <w:shd w:fill="DCE6ED"/>
            <w:tcMar>
              <w:top w:w="90" w:type="dxa"/>
              <w:start w:w="90" w:type="dxa"/>
              <w:bottom w:w="90" w:type="dxa"/>
              <w:end w:w="90" w:type="dxa"/>
            </w:tcMar>
            <w:vAlign w:val="center"/>
          </w:tcPr>
          <w:p>
            <w:pPr>
              <w:jc w:val="center"/>
            </w:pPr>
            <w:r>
              <w:rPr>
                <w:rFonts w:ascii="Liberation Sans" w:hAnsi="Liberation Sans"/>
                <w:b/>
                <w:sz w:val="16"/>
              </w:rPr>
              <w:t>eff. Kerne</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P95 [s]</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6"/>
              </w:rPr>
              <w:t>P99 [s]</w:t>
            </w:r>
          </w:p>
        </w:tc>
        <w:tc>
          <w:tcPr>
            <w:tcW w:type="dxa" w:w="1656"/>
            <w:shd w:fill="DCE6ED"/>
            <w:tcMar>
              <w:top w:w="90" w:type="dxa"/>
              <w:start w:w="90" w:type="dxa"/>
              <w:bottom w:w="90" w:type="dxa"/>
              <w:end w:w="90" w:type="dxa"/>
            </w:tcMar>
            <w:vAlign w:val="center"/>
          </w:tcPr>
          <w:p>
            <w:pPr>
              <w:jc w:val="center"/>
            </w:pPr>
            <w:r>
              <w:rPr>
                <w:rFonts w:ascii="Liberation Sans" w:hAnsi="Liberation Sans"/>
                <w:b/>
                <w:sz w:val="16"/>
              </w:rPr>
              <w:t>&lt;=90 s [%]</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0</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10</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87.0</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106.7</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95.8</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9</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92.6</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113.1</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93.7</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2</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8</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98.8</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123.0</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91.3</w:t>
            </w:r>
          </w:p>
        </w:tc>
      </w:tr>
      <w:tr>
        <w:tc>
          <w:tcPr>
            <w:tcW w:type="dxa" w:w="230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w:t>
            </w:r>
          </w:p>
        </w:tc>
        <w:tc>
          <w:tcPr>
            <w:tcW w:type="dxa" w:w="144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7</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106.5</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128.4</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86.9</w:t>
            </w:r>
          </w:p>
        </w:tc>
      </w:tr>
      <w:tr>
        <w:tc>
          <w:tcPr>
            <w:tcW w:type="dxa" w:w="2304"/>
            <w:tcMar>
              <w:top w:w="70" w:type="dxa"/>
              <w:start w:w="80" w:type="dxa"/>
              <w:bottom w:w="70" w:type="dxa"/>
              <w:end w:w="80" w:type="dxa"/>
            </w:tcMar>
            <w:vAlign w:val="center"/>
          </w:tcPr>
          <w:p>
            <w:pPr>
              <w:spacing w:after="0" w:line="240" w:lineRule="auto"/>
              <w:jc w:val="left"/>
            </w:pPr>
            <w:r>
              <w:rPr>
                <w:rFonts w:ascii="Liberation Sans" w:hAnsi="Liberation Sans"/>
                <w:sz w:val="16"/>
              </w:rPr>
              <w:t>4</w:t>
            </w:r>
          </w:p>
        </w:tc>
        <w:tc>
          <w:tcPr>
            <w:tcW w:type="dxa" w:w="1440"/>
            <w:tcMar>
              <w:top w:w="70" w:type="dxa"/>
              <w:start w:w="80" w:type="dxa"/>
              <w:bottom w:w="70" w:type="dxa"/>
              <w:end w:w="80" w:type="dxa"/>
            </w:tcMar>
            <w:vAlign w:val="center"/>
          </w:tcPr>
          <w:p>
            <w:pPr>
              <w:spacing w:after="0" w:line="240" w:lineRule="auto"/>
              <w:jc w:val="left"/>
            </w:pPr>
            <w:r>
              <w:rPr>
                <w:rFonts w:ascii="Liberation Sans" w:hAnsi="Liberation Sans"/>
                <w:sz w:val="16"/>
              </w:rPr>
              <w:t>6</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116.9</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6"/>
              </w:rPr>
              <w:t>141.2</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6"/>
              </w:rPr>
              <w:t>76.4</w:t>
            </w:r>
          </w:p>
        </w:tc>
      </w:tr>
    </w:tbl>
    <w:p>
      <w:pPr>
        <w:spacing w:after="40"/>
        <w:widowControl/>
      </w:pPr>
    </w:p>
    <w:p>
      <w:pPr>
        <w:spacing w:after="140" w:line="259" w:lineRule="auto"/>
        <w:widowControl/>
      </w:pPr>
      <w:r>
        <w:rPr>
          <w:rFonts w:ascii="Liberation Serif" w:hAnsi="Liberation Serif"/>
        </w:rPr>
        <w:t>Die v0.4-Monte-Carlo-Ergebnisse zeigen eine klare Robustheitslücke des internen 90-s-Benchmarks: mit zehn verfügbaren Kernen liegt P95 bei 87 s; fällt ein kompletter Kern aus, steigt P95 bereits auf 92,6 s. Das ist kein regulatorischer Grenzwert, sondern ein Projektbenchmark. Es zeigt, dass Feuer-/Rauchzonierung, unabhängige Portale, lokale Kapazität und TEST-11 nicht als nachträgliche Kabinenthemen behandelt werden dürfen.</w:t>
      </w:r>
    </w:p>
    <w:p>
      <w:pPr>
        <w:pStyle w:val="Heading2"/>
        <w:keepNext/>
        <w:widowControl/>
      </w:pPr>
      <w:r>
        <w:rPr>
          <w:rFonts w:ascii="Liberation Serif" w:hAnsi="Liberation Serif"/>
        </w:rPr>
        <w:t>5.14 Fertigungs- und Toleranzscreen</w:t>
      </w:r>
    </w:p>
    <w:p>
      <w:pPr>
        <w:spacing w:after="140" w:line="259" w:lineRule="auto"/>
        <w:widowControl/>
      </w:pPr>
      <w:r>
        <w:rPr>
          <w:rFonts w:ascii="Liberation Serif" w:hAnsi="Liberation Serif"/>
        </w:rPr>
        <w:t>Aus 1.248 Longeronsegmenten, 648 Primärringsektoren und 624 Sekundärhoopsektoren ergeben sich im Screening rund 2.496 wesentliche Segment-/Splice-Joints. Würden 52 hintereinanderliegende 6,25-m-Longeronsegmente jeweils einen unabhängigen +/-1-mm-Längenfehler tragen, läge die statistische RSS-Akkumulation bei etwa 7,2 mm; ein unphysikalischer Worst-Case gleicher Vorzeichen ergäbe 52 mm. Reale Erektionsblöcke und Jigs setzen die Kette regelmäßig zurück, aber die Rechnung quantifiziert, warum metrologische Datums, Tooling-Korrektur und As-built-Configuration-Control unverzichtbar sind.</w:t>
      </w:r>
    </w:p>
    <w:p>
      <w:pPr>
        <w:pStyle w:val="Heading2"/>
        <w:keepNext/>
        <w:widowControl/>
      </w:pPr>
      <w:r>
        <w:rPr>
          <w:rFonts w:ascii="Liberation Serif" w:hAnsi="Liberation Serif"/>
        </w:rPr>
        <w:t>5.15 Theory Closure Matrix</w:t>
      </w:r>
    </w:p>
    <w:tbl>
      <w:tblPr>
        <w:tblStyle w:val="TableGrid"/>
        <w:tblW w:type="auto" w:w="0"/>
        <w:jc w:val="center"/>
        <w:tblLayout w:type="fixed"/>
        <w:tblLook w:firstColumn="1" w:firstRow="1" w:lastColumn="0" w:lastRow="0" w:noHBand="0" w:noVBand="1" w:val="04A0"/>
      </w:tblPr>
      <w:tblGrid>
        <w:gridCol w:w="2016"/>
        <w:gridCol w:w="2016"/>
        <w:gridCol w:w="2016"/>
        <w:gridCol w:w="2016"/>
        <w:gridCol w:w="2016"/>
      </w:tblGrid>
      <w:tr>
        <w:trPr>
          <w:tblHeader w:val="true"/>
        </w:trPr>
        <w:tc>
          <w:tcPr>
            <w:tcW w:type="dxa" w:w="792"/>
            <w:shd w:fill="DCE6ED"/>
            <w:tcMar>
              <w:top w:w="90" w:type="dxa"/>
              <w:start w:w="90" w:type="dxa"/>
              <w:bottom w:w="90" w:type="dxa"/>
              <w:end w:w="90" w:type="dxa"/>
            </w:tcMar>
            <w:vAlign w:val="center"/>
          </w:tcPr>
          <w:p>
            <w:pPr>
              <w:jc w:val="center"/>
            </w:pPr>
            <w:r>
              <w:rPr>
                <w:rFonts w:ascii="Liberation Sans" w:hAnsi="Liberation Sans"/>
                <w:b/>
                <w:sz w:val="13"/>
              </w:rPr>
              <w:t>ID</w:t>
            </w:r>
          </w:p>
        </w:tc>
        <w:tc>
          <w:tcPr>
            <w:tcW w:type="dxa" w:w="1584"/>
            <w:shd w:fill="DCE6ED"/>
            <w:tcMar>
              <w:top w:w="90" w:type="dxa"/>
              <w:start w:w="90" w:type="dxa"/>
              <w:bottom w:w="90" w:type="dxa"/>
              <w:end w:w="90" w:type="dxa"/>
            </w:tcMar>
            <w:vAlign w:val="center"/>
          </w:tcPr>
          <w:p>
            <w:pPr>
              <w:jc w:val="center"/>
            </w:pPr>
            <w:r>
              <w:rPr>
                <w:rFonts w:ascii="Liberation Sans" w:hAnsi="Liberation Sans"/>
                <w:b/>
                <w:sz w:val="13"/>
              </w:rPr>
              <w:t>Domäne</w:t>
            </w:r>
          </w:p>
        </w:tc>
        <w:tc>
          <w:tcPr>
            <w:tcW w:type="dxa" w:w="1656"/>
            <w:shd w:fill="DCE6ED"/>
            <w:tcMar>
              <w:top w:w="90" w:type="dxa"/>
              <w:start w:w="90" w:type="dxa"/>
              <w:bottom w:w="90" w:type="dxa"/>
              <w:end w:w="90" w:type="dxa"/>
            </w:tcMar>
            <w:vAlign w:val="center"/>
          </w:tcPr>
          <w:p>
            <w:pPr>
              <w:jc w:val="center"/>
            </w:pPr>
            <w:r>
              <w:rPr>
                <w:rFonts w:ascii="Liberation Sans" w:hAnsi="Liberation Sans"/>
                <w:b/>
                <w:sz w:val="13"/>
              </w:rPr>
              <w:t>Status</w:t>
            </w:r>
          </w:p>
        </w:tc>
        <w:tc>
          <w:tcPr>
            <w:tcW w:type="dxa" w:w="2952"/>
            <w:shd w:fill="DCE6ED"/>
            <w:tcMar>
              <w:top w:w="90" w:type="dxa"/>
              <w:start w:w="90" w:type="dxa"/>
              <w:bottom w:w="90" w:type="dxa"/>
              <w:end w:w="90" w:type="dxa"/>
            </w:tcMar>
            <w:vAlign w:val="center"/>
          </w:tcPr>
          <w:p>
            <w:pPr>
              <w:jc w:val="center"/>
            </w:pPr>
            <w:r>
              <w:rPr>
                <w:rFonts w:ascii="Liberation Sans" w:hAnsi="Liberation Sans"/>
                <w:b/>
                <w:sz w:val="13"/>
              </w:rPr>
              <w:t>theoretisch erledigt</w:t>
            </w:r>
          </w:p>
        </w:tc>
        <w:tc>
          <w:tcPr>
            <w:tcW w:type="dxa" w:w="2952"/>
            <w:shd w:fill="DCE6ED"/>
            <w:tcMar>
              <w:top w:w="90" w:type="dxa"/>
              <w:start w:w="90" w:type="dxa"/>
              <w:bottom w:w="90" w:type="dxa"/>
              <w:end w:w="90" w:type="dxa"/>
            </w:tcMar>
            <w:vAlign w:val="center"/>
          </w:tcPr>
          <w:p>
            <w:pPr>
              <w:jc w:val="center"/>
            </w:pPr>
            <w:r>
              <w:rPr>
                <w:rFonts w:ascii="Liberation Sans" w:hAnsi="Liberation Sans"/>
                <w:b/>
                <w:sz w:val="13"/>
              </w:rPr>
              <w:t>verbleibendes Gate</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3"/>
              </w:rPr>
              <w:t>TC-01</w:t>
            </w:r>
          </w:p>
        </w:tc>
        <w:tc>
          <w:tcPr>
            <w:tcW w:type="dxa" w:w="1584"/>
            <w:tcMar>
              <w:top w:w="70" w:type="dxa"/>
              <w:start w:w="80" w:type="dxa"/>
              <w:bottom w:w="70" w:type="dxa"/>
              <w:end w:w="80" w:type="dxa"/>
            </w:tcMar>
            <w:vAlign w:val="center"/>
          </w:tcPr>
          <w:p>
            <w:pPr>
              <w:spacing w:after="0" w:line="240" w:lineRule="auto"/>
              <w:jc w:val="left"/>
            </w:pPr>
            <w:r>
              <w:rPr>
                <w:rFonts w:ascii="Liberation Sans" w:hAnsi="Liberation Sans"/>
                <w:sz w:val="13"/>
              </w:rPr>
              <w:t>Geometry/aerostatics</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Analytic geometry reproduced; hot/high/cell-loss/rain/purity bounds executed</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High-fidelity gas-cell thermoelastic dynamics needs measured membrane/permeation data</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TC-02</w:t>
            </w:r>
          </w:p>
        </w:tc>
        <w:tc>
          <w:tcPr>
            <w:tcW w:type="dxa" w:w="158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Mass/CG/water management</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Fuel burn / product-water mass-neutral strategy and CG sensitivity executed</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Detailed tank/trim/control implementation waits on hardware layout and mission data</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3"/>
              </w:rPr>
              <w:t>TC-03</w:t>
            </w:r>
          </w:p>
        </w:tc>
        <w:tc>
          <w:tcPr>
            <w:tcW w:type="dxa" w:w="1584"/>
            <w:tcMar>
              <w:top w:w="70" w:type="dxa"/>
              <w:start w:w="80" w:type="dxa"/>
              <w:bottom w:w="70" w:type="dxa"/>
              <w:end w:w="80" w:type="dxa"/>
            </w:tcMar>
            <w:vAlign w:val="center"/>
          </w:tcPr>
          <w:p>
            <w:pPr>
              <w:spacing w:after="0" w:line="240" w:lineRule="auto"/>
              <w:jc w:val="left"/>
            </w:pPr>
            <w:r>
              <w:rPr>
                <w:rFonts w:ascii="Liberation Sans" w:hAnsi="Liberation Sans"/>
                <w:sz w:val="13"/>
              </w:rPr>
              <w:t>Propulsion/energy</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Drag-power-H2, FC module-out, battery buffer, pod-out bounds executed</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RANS/BEMT prop-hull interference and vendor maps still required</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TC-04</w:t>
            </w:r>
          </w:p>
        </w:tc>
        <w:tc>
          <w:tcPr>
            <w:tcW w:type="dxa" w:w="158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Thermal</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N+1/N+2 cooling derate bounds executed</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Radiator/fan maps and hot-day rig correlation require vendor/test data</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3"/>
              </w:rPr>
              <w:t>TC-05</w:t>
            </w:r>
          </w:p>
        </w:tc>
        <w:tc>
          <w:tcPr>
            <w:tcW w:type="dxa" w:w="1584"/>
            <w:tcMar>
              <w:top w:w="70" w:type="dxa"/>
              <w:start w:w="80" w:type="dxa"/>
              <w:bottom w:w="70" w:type="dxa"/>
              <w:end w:w="80" w:type="dxa"/>
            </w:tcMar>
            <w:vAlign w:val="center"/>
          </w:tcPr>
          <w:p>
            <w:pPr>
              <w:spacing w:after="0" w:line="240" w:lineRule="auto"/>
              <w:jc w:val="left"/>
            </w:pPr>
            <w:r>
              <w:rPr>
                <w:rFonts w:ascii="Liberation Sans" w:hAnsi="Liberation Sans"/>
                <w:sz w:val="13"/>
              </w:rPr>
              <w:t>Global structure</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Global bending longeron bounds + beam modal screen executed</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Nonlinear shell/solid joint/buckling/damage tolerance requires solver + validated material cards</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TC-06</w:t>
            </w:r>
          </w:p>
        </w:tc>
        <w:tc>
          <w:tcPr>
            <w:tcW w:type="dxa" w:w="158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Ground handling</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H350-64 side-area and wind/moment bounds executed</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Nonlinear multibody mast/trolley/contact requires detailed hardware stiffness/friction + solver</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3"/>
              </w:rPr>
              <w:t>TC-07</w:t>
            </w:r>
          </w:p>
        </w:tc>
        <w:tc>
          <w:tcPr>
            <w:tcW w:type="dxa" w:w="1584"/>
            <w:tcMar>
              <w:top w:w="70" w:type="dxa"/>
              <w:start w:w="80" w:type="dxa"/>
              <w:bottom w:w="70" w:type="dxa"/>
              <w:end w:w="80" w:type="dxa"/>
            </w:tcMar>
            <w:vAlign w:val="center"/>
          </w:tcPr>
          <w:p>
            <w:pPr>
              <w:spacing w:after="0" w:line="240" w:lineRule="auto"/>
              <w:jc w:val="left"/>
            </w:pPr>
            <w:r>
              <w:rPr>
                <w:rFonts w:ascii="Liberation Sans" w:hAnsi="Liberation Sans"/>
                <w:sz w:val="13"/>
              </w:rPr>
              <w:t>HV</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1500 V bus loss + fault-energy time sensitivity executed</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PD/insulation coordination requires actual cables/connectors, pressure/contamination and lab evidence</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TC-08</w:t>
            </w:r>
          </w:p>
        </w:tc>
        <w:tc>
          <w:tcPr>
            <w:tcW w:type="dxa" w:w="158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Hydrogen safety</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Perfect-mix ventilation bounds executed</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3-D buoyant dispersion/ignition needs geometry, leak source details and CFD/test correlation</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3"/>
              </w:rPr>
              <w:t>TC-09</w:t>
            </w:r>
          </w:p>
        </w:tc>
        <w:tc>
          <w:tcPr>
            <w:tcW w:type="dxa" w:w="1584"/>
            <w:tcMar>
              <w:top w:w="70" w:type="dxa"/>
              <w:start w:w="80" w:type="dxa"/>
              <w:bottom w:w="70" w:type="dxa"/>
              <w:end w:w="80" w:type="dxa"/>
            </w:tcMar>
            <w:vAlign w:val="center"/>
          </w:tcPr>
          <w:p>
            <w:pPr>
              <w:spacing w:after="0" w:line="240" w:lineRule="auto"/>
              <w:jc w:val="left"/>
            </w:pPr>
            <w:r>
              <w:rPr>
                <w:rFonts w:ascii="Liberation Sans" w:hAnsi="Liberation Sans"/>
                <w:sz w:val="13"/>
              </w:rPr>
              <w:t>LH2 fuel</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Feed-line friction and boil-off heat-flux bounds executed</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Two-phase chilldown/relief/fire case needs valve/tank hardware data + cryogenic network/CFD</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TC-10</w:t>
            </w:r>
          </w:p>
        </w:tc>
        <w:tc>
          <w:tcPr>
            <w:tcW w:type="dxa" w:w="158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Evacuation</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Blocked-core sensitivity extracted from v0.4 Monte Carlo trade</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Smoke/toxicity/human behavior and full-scale drills remain empirical</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3"/>
              </w:rPr>
              <w:t>TC-11</w:t>
            </w:r>
          </w:p>
        </w:tc>
        <w:tc>
          <w:tcPr>
            <w:tcW w:type="dxa" w:w="1584"/>
            <w:tcMar>
              <w:top w:w="70" w:type="dxa"/>
              <w:start w:w="80" w:type="dxa"/>
              <w:bottom w:w="70" w:type="dxa"/>
              <w:end w:w="80" w:type="dxa"/>
            </w:tcMar>
            <w:vAlign w:val="center"/>
          </w:tcPr>
          <w:p>
            <w:pPr>
              <w:spacing w:after="0" w:line="240" w:lineRule="auto"/>
              <w:jc w:val="left"/>
            </w:pPr>
            <w:r>
              <w:rPr>
                <w:rFonts w:ascii="Liberation Sans" w:hAnsi="Liberation Sans"/>
                <w:sz w:val="13"/>
              </w:rPr>
              <w:t>Manufacturing</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3"/>
              </w:rPr>
              <w:t>CLOSED_REDUCED_ORDER</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Segment/joint count and tolerance accumulation bounds executed</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Process capability, NDI POD and defects require manufacturing trials</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TC-12</w:t>
            </w:r>
          </w:p>
        </w:tc>
        <w:tc>
          <w:tcPr>
            <w:tcW w:type="dxa" w:w="158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Flight controls/aeroelasticity</w:t>
            </w:r>
          </w:p>
        </w:tc>
        <w:tc>
          <w:tcPr>
            <w:tcW w:type="dxa" w:w="165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PARTIAL_SOLVER_GATED</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Global mode screen and pod-out force envelope executed</w:t>
            </w:r>
          </w:p>
        </w:tc>
        <w:tc>
          <w:tcPr>
            <w:tcW w:type="dxa" w:w="2952"/>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Aerodynamic derivatives, flexible modes, control-law HIL and GVT correlation are missing</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3"/>
              </w:rPr>
              <w:t>TC-13</w:t>
            </w:r>
          </w:p>
        </w:tc>
        <w:tc>
          <w:tcPr>
            <w:tcW w:type="dxa" w:w="1584"/>
            <w:tcMar>
              <w:top w:w="70" w:type="dxa"/>
              <w:start w:w="80" w:type="dxa"/>
              <w:bottom w:w="70" w:type="dxa"/>
              <w:end w:w="80" w:type="dxa"/>
            </w:tcMar>
            <w:vAlign w:val="center"/>
          </w:tcPr>
          <w:p>
            <w:pPr>
              <w:spacing w:after="0" w:line="240" w:lineRule="auto"/>
              <w:jc w:val="left"/>
            </w:pPr>
            <w:r>
              <w:rPr>
                <w:rFonts w:ascii="Liberation Sans" w:hAnsi="Liberation Sans"/>
                <w:sz w:val="13"/>
              </w:rPr>
              <w:t>Certification/safety</w:t>
            </w:r>
          </w:p>
        </w:tc>
        <w:tc>
          <w:tcPr>
            <w:tcW w:type="dxa" w:w="1656"/>
            <w:tcMar>
              <w:top w:w="70" w:type="dxa"/>
              <w:start w:w="80" w:type="dxa"/>
              <w:bottom w:w="70" w:type="dxa"/>
              <w:end w:w="80" w:type="dxa"/>
            </w:tcMar>
            <w:vAlign w:val="center"/>
          </w:tcPr>
          <w:p>
            <w:pPr>
              <w:spacing w:after="0" w:line="240" w:lineRule="auto"/>
              <w:jc w:val="left"/>
            </w:pPr>
            <w:r>
              <w:rPr>
                <w:rFonts w:ascii="Liberation Sans" w:hAnsi="Liberation Sans"/>
                <w:sz w:val="13"/>
              </w:rPr>
              <w:t>PARTIAL_AUTHORITY_GATED</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PDR requirements/FHA/FMEA/ICD/open-action structure exists</w:t>
            </w:r>
          </w:p>
        </w:tc>
        <w:tc>
          <w:tcPr>
            <w:tcW w:type="dxa" w:w="2952"/>
            <w:tcMar>
              <w:top w:w="70" w:type="dxa"/>
              <w:start w:w="80" w:type="dxa"/>
              <w:bottom w:w="70" w:type="dxa"/>
              <w:end w:w="80" w:type="dxa"/>
            </w:tcMar>
            <w:vAlign w:val="center"/>
          </w:tcPr>
          <w:p>
            <w:pPr>
              <w:spacing w:after="0" w:line="240" w:lineRule="auto"/>
              <w:jc w:val="left"/>
            </w:pPr>
            <w:r>
              <w:rPr>
                <w:rFonts w:ascii="Liberation Sans" w:hAnsi="Liberation Sans"/>
                <w:sz w:val="13"/>
              </w:rPr>
              <w:t>Final certification basis, quantitative safety targets, SSA and authority agreement cannot be self-declared</w:t>
            </w:r>
          </w:p>
        </w:tc>
      </w:tr>
    </w:tbl>
    <w:p>
      <w:pPr>
        <w:spacing w:after="40"/>
        <w:widowControl/>
      </w:pPr>
    </w:p>
    <w:tbl>
      <w:tblPr>
        <w:tblW w:type="auto" w:w="0"/>
        <w:jc w:val="center"/>
        <w:tblLayout w:type="fixed"/>
        <w:tblLook w:firstColumn="1" w:firstRow="1" w:lastColumn="0" w:lastRow="0" w:noHBand="0" w:noVBand="1" w:val="04A0"/>
      </w:tblPr>
      <w:tblGrid>
        <w:gridCol w:w="9072"/>
      </w:tblGrid>
      <w:tr>
        <w:tc>
          <w:tcPr>
            <w:tcW w:type="dxa" w:w="10080"/>
            <w:shd w:fill="EAF1F5"/>
            <w:tcMar>
              <w:top w:w="120" w:type="dxa"/>
              <w:start w:w="150" w:type="dxa"/>
              <w:bottom w:w="120" w:type="dxa"/>
              <w:end w:w="150" w:type="dxa"/>
            </w:tcMar>
          </w:tcPr>
          <w:p>
            <w:r>
              <w:rPr>
                <w:b/>
                <w:color w:val="204658"/>
              </w:rPr>
              <w:t xml:space="preserve">TCG-1 DISPOSITION  </w:t>
            </w:r>
            <w:r>
              <w:t>Der interne Theoretical Completion Gate ist mit v1.3 erfüllt: Die vorhandenen Daten tragen keine weiteren seriösen Reduced-Order-Verfeinerungen, die die dominanten offenen Risiken qualitativ ändern würden. Der nächste Wissenssprung braucht entweder (a) externe High-Fidelity-Solver mit Detail-CAD/Material-/Vendor-Inputs oder (b) reale Mess-/Testdaten. Genau diese Arbeiten werden in Kapitel 6 geplant.</w:t>
            </w:r>
          </w:p>
        </w:tc>
      </w:tr>
    </w:tbl>
    <w:p>
      <w:pPr>
        <w:spacing w:after="20"/>
        <w:widowControl/>
      </w:pPr>
    </w:p>
    <w:p>
      <w:pPr>
        <w:pStyle w:val="Heading1"/>
        <w:keepNext/>
        <w:widowControl/>
      </w:pPr>
      <w:r>
        <w:rPr>
          <w:rFonts w:ascii="Liberation Serif" w:hAnsi="Liberation Serif"/>
        </w:rPr>
        <w:t>6. Noch zu erledigen: High-Fidelity-Analysen, Tests, Anbieter, Kosten und Gate-Plan</w:t>
      </w:r>
    </w:p>
    <w:p>
      <w:pPr>
        <w:pStyle w:val="Heading2"/>
        <w:keepNext/>
        <w:widowControl/>
      </w:pPr>
      <w:r>
        <w:rPr>
          <w:rFonts w:ascii="Liberation Serif" w:hAnsi="Liberation Serif"/>
        </w:rPr>
        <w:t>6.1 Was "noch zu tun" jetzt bedeutet</w:t>
      </w:r>
    </w:p>
    <w:p>
      <w:pPr>
        <w:spacing w:after="140" w:line="259" w:lineRule="auto"/>
        <w:widowControl/>
      </w:pPr>
      <w:r>
        <w:rPr>
          <w:rFonts w:ascii="Liberation Serif" w:hAnsi="Liberation Serif"/>
        </w:rPr>
        <w:t>Nach v1.3 ist die offene Arbeit nicht einfach eine längere Liste weiterer Handrechnungen. Sie fällt in vier Evidenzklassen: externe High-Fidelity-Rechnung, Material-/Komponentenprüfung, subsystem-/human-factor validation und integrierter Fahrzeug-/Flugnachweis. Jede Klasse hat andere Entry Gates und Kostenrisiken. Die Reihenfolge ist entscheidend: ein teurer Fahrzeugtest darf nicht die Funktion eines fehlenden Coupon- oder CFD-Nachweises übernehmen.</w:t>
      </w:r>
    </w:p>
    <w:p>
      <w:pPr>
        <w:pStyle w:val="ListBullet"/>
        <w:widowControl/>
      </w:pPr>
      <w:r>
        <w:rPr>
          <w:rFonts w:ascii="Liberation Serif" w:hAnsi="Liberation Serif"/>
        </w:rPr>
        <w:t>Phase A - External analysis and aerodynamic validation: 15 CFD/URANS cases, 10 nonlinear/modal FEA cases, flight-control/aeroelastic model, H2/LH2 multiphysics and wind-tunnel correlation.</w:t>
      </w:r>
    </w:p>
    <w:p>
      <w:pPr>
        <w:pStyle w:val="ListBullet"/>
        <w:widowControl/>
      </w:pPr>
      <w:r>
        <w:rPr>
          <w:rFonts w:ascii="Liberation Serif" w:hAnsi="Liberation Serif"/>
        </w:rPr>
        <w:t>Phase B - Materials/elements/subsystems: composite allowables, joints, TA-01, hardpoints, battery containment, 1.500-V HIL/PD, LH2 rig, H2 dispersion rig, PEMFC/thermal rig.</w:t>
      </w:r>
    </w:p>
    <w:p>
      <w:pPr>
        <w:pStyle w:val="ListBullet"/>
        <w:widowControl/>
      </w:pPr>
      <w:r>
        <w:rPr>
          <w:rFonts w:ascii="Liberation Serif" w:hAnsi="Liberation Serif"/>
        </w:rPr>
        <w:t>Phase C - Integrated ground/human factors/electrical environment: mast/trolley dynamics, HIRF/EMC/lightning, evacuation/smoke mock-up and authority-facing safety closure.</w:t>
      </w:r>
    </w:p>
    <w:p>
      <w:pPr>
        <w:pStyle w:val="ListBullet"/>
        <w:widowControl/>
      </w:pPr>
      <w:r>
        <w:rPr>
          <w:rFonts w:ascii="Liberation Serif" w:hAnsi="Liberation Serif"/>
        </w:rPr>
        <w:t>Phase D - Vehicle: whole-ship proof/GVT/systems ground test, then progressive flight envelope expansion.</w:t>
      </w:r>
    </w:p>
    <w:p>
      <w:pPr>
        <w:pStyle w:val="Heading2"/>
        <w:keepNext/>
        <w:widowControl/>
      </w:pPr>
      <w:r>
        <w:rPr>
          <w:rFonts w:ascii="Liberation Serif" w:hAnsi="Liberation Serif"/>
        </w:rPr>
        <w:t>6.2 Externe High-Fidelity-Analysen, die vor Hardware maximiert werden sollten</w:t>
      </w:r>
    </w:p>
    <w:p>
      <w:pPr>
        <w:spacing w:after="140" w:line="259" w:lineRule="auto"/>
        <w:widowControl/>
      </w:pPr>
      <w:r>
        <w:rPr>
          <w:rFonts w:ascii="Liberation Serif" w:hAnsi="Liberation Serif"/>
        </w:rPr>
        <w:t>Diese Arbeiten sind weiterhin "theoretisch" im physikalischen Sinn, aber nicht mehr seriös mit den vorhandenen Reduced-Order-Daten allein durchführbar. v1.3 schließt sie daher nicht fiktiv, sondern liefert einen solver-ready Scope. Ziel ist, Hardwaretests mit belastbaren Lasten und Hypothesen zu betreten statt teure Prüfstände als Entdeckungswerkzeug für grobe Modellfehler zu benutzen.</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1080"/>
            <w:shd w:fill="DCE6ED"/>
            <w:tcMar>
              <w:top w:w="90" w:type="dxa"/>
              <w:start w:w="90" w:type="dxa"/>
              <w:bottom w:w="90" w:type="dxa"/>
              <w:end w:w="90" w:type="dxa"/>
            </w:tcMar>
            <w:vAlign w:val="center"/>
          </w:tcPr>
          <w:p>
            <w:pPr>
              <w:jc w:val="center"/>
            </w:pPr>
            <w:r>
              <w:rPr>
                <w:rFonts w:ascii="Liberation Sans" w:hAnsi="Liberation Sans"/>
                <w:b/>
                <w:sz w:val="14"/>
              </w:rPr>
              <w:t>Case</w:t>
            </w:r>
          </w:p>
        </w:tc>
        <w:tc>
          <w:tcPr>
            <w:tcW w:type="dxa" w:w="1512"/>
            <w:shd w:fill="DCE6ED"/>
            <w:tcMar>
              <w:top w:w="90" w:type="dxa"/>
              <w:start w:w="90" w:type="dxa"/>
              <w:bottom w:w="90" w:type="dxa"/>
              <w:end w:w="90" w:type="dxa"/>
            </w:tcMar>
            <w:vAlign w:val="center"/>
          </w:tcPr>
          <w:p>
            <w:pPr>
              <w:jc w:val="center"/>
            </w:pPr>
            <w:r>
              <w:rPr>
                <w:rFonts w:ascii="Liberation Sans" w:hAnsi="Liberation Sans"/>
                <w:b/>
                <w:sz w:val="14"/>
              </w:rPr>
              <w:t>Solver</w:t>
            </w:r>
          </w:p>
        </w:tc>
        <w:tc>
          <w:tcPr>
            <w:tcW w:type="dxa" w:w="2880"/>
            <w:shd w:fill="DCE6ED"/>
            <w:tcMar>
              <w:top w:w="90" w:type="dxa"/>
              <w:start w:w="90" w:type="dxa"/>
              <w:bottom w:w="90" w:type="dxa"/>
              <w:end w:w="90" w:type="dxa"/>
            </w:tcMar>
            <w:vAlign w:val="center"/>
          </w:tcPr>
          <w:p>
            <w:pPr>
              <w:jc w:val="center"/>
            </w:pPr>
            <w:r>
              <w:rPr>
                <w:rFonts w:ascii="Liberation Sans" w:hAnsi="Liberation Sans"/>
                <w:b/>
                <w:sz w:val="14"/>
              </w:rPr>
              <w:t>Zweck</w:t>
            </w:r>
          </w:p>
        </w:tc>
        <w:tc>
          <w:tcPr>
            <w:tcW w:type="dxa" w:w="3672"/>
            <w:shd w:fill="DCE6ED"/>
            <w:tcMar>
              <w:top w:w="90" w:type="dxa"/>
              <w:start w:w="90" w:type="dxa"/>
              <w:bottom w:w="90" w:type="dxa"/>
              <w:end w:w="90" w:type="dxa"/>
            </w:tcMar>
            <w:vAlign w:val="center"/>
          </w:tcPr>
          <w:p>
            <w:pPr>
              <w:jc w:val="center"/>
            </w:pPr>
            <w:r>
              <w:rPr>
                <w:rFonts w:ascii="Liberation Sans" w:hAnsi="Liberation Sans"/>
                <w:b/>
                <w:sz w:val="14"/>
              </w:rPr>
              <w:t>Projekt-Gate</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CFD-01</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4"/>
              </w:rPr>
              <w:t>RANS</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Reference cruise</w:t>
            </w:r>
          </w:p>
        </w:tc>
        <w:tc>
          <w:tcPr>
            <w:tcW w:type="dxa" w:w="3672"/>
            <w:tcMar>
              <w:top w:w="70" w:type="dxa"/>
              <w:start w:w="80" w:type="dxa"/>
              <w:bottom w:w="70" w:type="dxa"/>
              <w:end w:w="80" w:type="dxa"/>
            </w:tcMar>
            <w:vAlign w:val="center"/>
          </w:tcPr>
          <w:p>
            <w:pPr>
              <w:spacing w:after="0" w:line="240" w:lineRule="auto"/>
              <w:jc w:val="left"/>
            </w:pPr>
            <w:r>
              <w:rPr>
                <w:rFonts w:ascii="Liberation Sans" w:hAnsi="Liberation Sans"/>
                <w:sz w:val="14"/>
              </w:rPr>
              <w:t>Drag &lt;=2 % Meshänderung; Momente &lt;=3 %</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CFD-02</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RANS</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Low cruise</w:t>
            </w:r>
          </w:p>
        </w:tc>
        <w:tc>
          <w:tcPr>
            <w:tcW w:type="dxa" w:w="367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wie CFD-01</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CFD-03</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4"/>
              </w:rPr>
              <w:t>RANS</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Max study</w:t>
            </w:r>
          </w:p>
        </w:tc>
        <w:tc>
          <w:tcPr>
            <w:tcW w:type="dxa" w:w="3672"/>
            <w:tcMar>
              <w:top w:w="70" w:type="dxa"/>
              <w:start w:w="80" w:type="dxa"/>
              <w:bottom w:w="70" w:type="dxa"/>
              <w:end w:w="80" w:type="dxa"/>
            </w:tcMar>
            <w:vAlign w:val="center"/>
          </w:tcPr>
          <w:p>
            <w:pPr>
              <w:spacing w:after="0" w:line="240" w:lineRule="auto"/>
              <w:jc w:val="left"/>
            </w:pPr>
            <w:r>
              <w:rPr>
                <w:rFonts w:ascii="Liberation Sans" w:hAnsi="Liberation Sans"/>
                <w:sz w:val="14"/>
              </w:rPr>
              <w:t>wie CFD-01; Separationssensitivität geschlossen</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CFD-04</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RANS sweep</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Yaw derivatives</w:t>
            </w:r>
          </w:p>
        </w:tc>
        <w:tc>
          <w:tcPr>
            <w:tcW w:type="dxa" w:w="367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Fit residual &lt;=5 %</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CFD-05</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4"/>
              </w:rPr>
              <w:t>RANS sweep</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Pitch derivatives</w:t>
            </w:r>
          </w:p>
        </w:tc>
        <w:tc>
          <w:tcPr>
            <w:tcW w:type="dxa" w:w="3672"/>
            <w:tcMar>
              <w:top w:w="70" w:type="dxa"/>
              <w:start w:w="80" w:type="dxa"/>
              <w:bottom w:w="70" w:type="dxa"/>
              <w:end w:w="80" w:type="dxa"/>
            </w:tcMar>
            <w:vAlign w:val="center"/>
          </w:tcPr>
          <w:p>
            <w:pPr>
              <w:spacing w:after="0" w:line="240" w:lineRule="auto"/>
              <w:jc w:val="left"/>
            </w:pPr>
            <w:r>
              <w:rPr>
                <w:rFonts w:ascii="Liberation Sans" w:hAnsi="Liberation Sans"/>
                <w:sz w:val="14"/>
              </w:rPr>
              <w:t>Fit residual &lt;=5 %</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CFD-06</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MRF/actuator disk</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Pod-hull interaction</w:t>
            </w:r>
          </w:p>
        </w:tc>
        <w:tc>
          <w:tcPr>
            <w:tcW w:type="dxa" w:w="367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Thrust/Power &lt;=3 % Konvergenz</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CFD-07</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4"/>
              </w:rPr>
              <w:t>MRF/actuator disk</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Static thrust interaction</w:t>
            </w:r>
          </w:p>
        </w:tc>
        <w:tc>
          <w:tcPr>
            <w:tcW w:type="dxa" w:w="3672"/>
            <w:tcMar>
              <w:top w:w="70" w:type="dxa"/>
              <w:start w:w="80" w:type="dxa"/>
              <w:bottom w:w="70" w:type="dxa"/>
              <w:end w:w="80" w:type="dxa"/>
            </w:tcMar>
            <w:vAlign w:val="center"/>
          </w:tcPr>
          <w:p>
            <w:pPr>
              <w:spacing w:after="0" w:line="240" w:lineRule="auto"/>
              <w:jc w:val="left"/>
            </w:pPr>
            <w:r>
              <w:rPr>
                <w:rFonts w:ascii="Liberation Sans" w:hAnsi="Liberation Sans"/>
                <w:sz w:val="14"/>
              </w:rPr>
              <w:t>keine unquantifizierte kritische Rezirkulation</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CFD-08</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RANS sweep</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Tail control</w:t>
            </w:r>
          </w:p>
        </w:tc>
        <w:tc>
          <w:tcPr>
            <w:tcW w:type="dxa" w:w="367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Moment &lt;=3 % Konvergenz</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CFD-09</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4"/>
              </w:rPr>
              <w:t>RANS</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Mooring aligned wind</w:t>
            </w:r>
          </w:p>
        </w:tc>
        <w:tc>
          <w:tcPr>
            <w:tcW w:type="dxa" w:w="3672"/>
            <w:tcMar>
              <w:top w:w="70" w:type="dxa"/>
              <w:start w:w="80" w:type="dxa"/>
              <w:bottom w:w="70" w:type="dxa"/>
              <w:end w:w="80" w:type="dxa"/>
            </w:tcMar>
            <w:vAlign w:val="center"/>
          </w:tcPr>
          <w:p>
            <w:pPr>
              <w:spacing w:after="0" w:line="240" w:lineRule="auto"/>
              <w:jc w:val="left"/>
            </w:pPr>
            <w:r>
              <w:rPr>
                <w:rFonts w:ascii="Liberation Sans" w:hAnsi="Liberation Sans"/>
                <w:sz w:val="14"/>
              </w:rPr>
              <w:t>Force &lt;=3 % Konvergenz</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CFD-10</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RANS</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Single pod out</w:t>
            </w:r>
          </w:p>
        </w:tc>
        <w:tc>
          <w:tcPr>
            <w:tcW w:type="dxa" w:w="367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stabile Lösung + 6-DOF derivative mapping</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URANS-01</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4"/>
              </w:rPr>
              <w:t>URANS</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Lateral gust</w:t>
            </w:r>
          </w:p>
        </w:tc>
        <w:tc>
          <w:tcPr>
            <w:tcW w:type="dxa" w:w="3672"/>
            <w:tcMar>
              <w:top w:w="70" w:type="dxa"/>
              <w:start w:w="80" w:type="dxa"/>
              <w:bottom w:w="70" w:type="dxa"/>
              <w:end w:w="80" w:type="dxa"/>
            </w:tcMar>
            <w:vAlign w:val="center"/>
          </w:tcPr>
          <w:p>
            <w:pPr>
              <w:spacing w:after="0" w:line="240" w:lineRule="auto"/>
              <w:jc w:val="left"/>
            </w:pPr>
            <w:r>
              <w:rPr>
                <w:rFonts w:ascii="Liberation Sans" w:hAnsi="Liberation Sans"/>
                <w:sz w:val="14"/>
              </w:rPr>
              <w:t>Peak &lt;=5 % bei Zeit-/Meshrefinement</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URANS-02</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URANS</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Vertical gust</w:t>
            </w:r>
          </w:p>
        </w:tc>
        <w:tc>
          <w:tcPr>
            <w:tcW w:type="dxa" w:w="367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Peak &lt;=5 %</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URANS-03</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4"/>
              </w:rPr>
              <w:t>URANS</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Weather-vane transient</w:t>
            </w:r>
          </w:p>
        </w:tc>
        <w:tc>
          <w:tcPr>
            <w:tcW w:type="dxa" w:w="3672"/>
            <w:tcMar>
              <w:top w:w="70" w:type="dxa"/>
              <w:start w:w="80" w:type="dxa"/>
              <w:bottom w:w="70" w:type="dxa"/>
              <w:end w:w="80" w:type="dxa"/>
            </w:tcMar>
            <w:vAlign w:val="center"/>
          </w:tcPr>
          <w:p>
            <w:pPr>
              <w:spacing w:after="0" w:line="240" w:lineRule="auto"/>
              <w:jc w:val="left"/>
            </w:pPr>
            <w:r>
              <w:rPr>
                <w:rFonts w:ascii="Liberation Sans" w:hAnsi="Liberation Sans"/>
                <w:sz w:val="14"/>
              </w:rPr>
              <w:t>Loads ins Multibody-Modell gemappt</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CFD-11</w:t>
            </w:r>
          </w:p>
        </w:tc>
        <w:tc>
          <w:tcPr>
            <w:tcW w:type="dxa" w:w="151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Dispersion CFD</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Fuel-H2 vent/leak</w:t>
            </w:r>
          </w:p>
        </w:tc>
        <w:tc>
          <w:tcPr>
            <w:tcW w:type="dxa" w:w="3672"/>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Grid/domain sensitivity + keep-outs</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CFD-12</w:t>
            </w:r>
          </w:p>
        </w:tc>
        <w:tc>
          <w:tcPr>
            <w:tcW w:type="dxa" w:w="1512"/>
            <w:tcMar>
              <w:top w:w="70" w:type="dxa"/>
              <w:start w:w="80" w:type="dxa"/>
              <w:bottom w:w="70" w:type="dxa"/>
              <w:end w:w="80" w:type="dxa"/>
            </w:tcMar>
            <w:vAlign w:val="center"/>
          </w:tcPr>
          <w:p>
            <w:pPr>
              <w:spacing w:after="0" w:line="240" w:lineRule="auto"/>
              <w:jc w:val="left"/>
            </w:pPr>
            <w:r>
              <w:rPr>
                <w:rFonts w:ascii="Liberation Sans" w:hAnsi="Liberation Sans"/>
                <w:sz w:val="14"/>
              </w:rPr>
              <w:t>Dispersion CFD</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Battery vent release</w:t>
            </w:r>
          </w:p>
        </w:tc>
        <w:tc>
          <w:tcPr>
            <w:tcW w:type="dxa" w:w="3672"/>
            <w:tcMar>
              <w:top w:w="70" w:type="dxa"/>
              <w:start w:w="80" w:type="dxa"/>
              <w:bottom w:w="70" w:type="dxa"/>
              <w:end w:w="80" w:type="dxa"/>
            </w:tcMar>
            <w:vAlign w:val="center"/>
          </w:tcPr>
          <w:p>
            <w:pPr>
              <w:spacing w:after="0" w:line="240" w:lineRule="auto"/>
              <w:jc w:val="left"/>
            </w:pPr>
            <w:r>
              <w:rPr>
                <w:rFonts w:ascii="Liberation Sans" w:hAnsi="Liberation Sans"/>
                <w:sz w:val="14"/>
              </w:rPr>
              <w:t>keine unmitigierte occupied-zone accumulation</w:t>
            </w:r>
          </w:p>
        </w:tc>
      </w:tr>
    </w:tbl>
    <w:p>
      <w:pPr>
        <w:spacing w:after="40"/>
        <w:widowControl/>
      </w:pP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1080"/>
            <w:shd w:fill="DCE6ED"/>
            <w:tcMar>
              <w:top w:w="90" w:type="dxa"/>
              <w:start w:w="90" w:type="dxa"/>
              <w:bottom w:w="90" w:type="dxa"/>
              <w:end w:w="90" w:type="dxa"/>
            </w:tcMar>
            <w:vAlign w:val="center"/>
          </w:tcPr>
          <w:p>
            <w:pPr>
              <w:jc w:val="center"/>
            </w:pPr>
            <w:r>
              <w:rPr>
                <w:rFonts w:ascii="Liberation Sans" w:hAnsi="Liberation Sans"/>
                <w:b/>
                <w:sz w:val="14"/>
              </w:rPr>
              <w:t>Case</w:t>
            </w:r>
          </w:p>
        </w:tc>
        <w:tc>
          <w:tcPr>
            <w:tcW w:type="dxa" w:w="1800"/>
            <w:shd w:fill="DCE6ED"/>
            <w:tcMar>
              <w:top w:w="90" w:type="dxa"/>
              <w:start w:w="90" w:type="dxa"/>
              <w:bottom w:w="90" w:type="dxa"/>
              <w:end w:w="90" w:type="dxa"/>
            </w:tcMar>
            <w:vAlign w:val="center"/>
          </w:tcPr>
          <w:p>
            <w:pPr>
              <w:jc w:val="center"/>
            </w:pPr>
            <w:r>
              <w:rPr>
                <w:rFonts w:ascii="Liberation Sans" w:hAnsi="Liberation Sans"/>
                <w:b/>
                <w:sz w:val="14"/>
              </w:rPr>
              <w:t>Modell</w:t>
            </w:r>
          </w:p>
        </w:tc>
        <w:tc>
          <w:tcPr>
            <w:tcW w:type="dxa" w:w="2880"/>
            <w:shd w:fill="DCE6ED"/>
            <w:tcMar>
              <w:top w:w="90" w:type="dxa"/>
              <w:start w:w="90" w:type="dxa"/>
              <w:bottom w:w="90" w:type="dxa"/>
              <w:end w:w="90" w:type="dxa"/>
            </w:tcMar>
            <w:vAlign w:val="center"/>
          </w:tcPr>
          <w:p>
            <w:pPr>
              <w:jc w:val="center"/>
            </w:pPr>
            <w:r>
              <w:rPr>
                <w:rFonts w:ascii="Liberation Sans" w:hAnsi="Liberation Sans"/>
                <w:b/>
                <w:sz w:val="14"/>
              </w:rPr>
              <w:t>Zweck</w:t>
            </w:r>
          </w:p>
        </w:tc>
        <w:tc>
          <w:tcPr>
            <w:tcW w:type="dxa" w:w="3384"/>
            <w:shd w:fill="DCE6ED"/>
            <w:tcMar>
              <w:top w:w="90" w:type="dxa"/>
              <w:start w:w="90" w:type="dxa"/>
              <w:bottom w:w="90" w:type="dxa"/>
              <w:end w:w="90" w:type="dxa"/>
            </w:tcMar>
            <w:vAlign w:val="center"/>
          </w:tcPr>
          <w:p>
            <w:pPr>
              <w:jc w:val="center"/>
            </w:pPr>
            <w:r>
              <w:rPr>
                <w:rFonts w:ascii="Liberation Sans" w:hAnsi="Liberation Sans"/>
                <w:b/>
                <w:sz w:val="14"/>
              </w:rPr>
              <w:t>Projekt-Gate</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FEA-01</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4"/>
              </w:rPr>
              <w:t>Global shell/beam</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Cruise aero + buoyancy + mass</w:t>
            </w:r>
          </w:p>
        </w:tc>
        <w:tc>
          <w:tcPr>
            <w:tcW w:type="dxa" w:w="3384"/>
            <w:tcMar>
              <w:top w:w="70" w:type="dxa"/>
              <w:start w:w="80" w:type="dxa"/>
              <w:bottom w:w="70" w:type="dxa"/>
              <w:end w:w="80" w:type="dxa"/>
            </w:tcMar>
            <w:vAlign w:val="center"/>
          </w:tcPr>
          <w:p>
            <w:pPr>
              <w:spacing w:after="0" w:line="240" w:lineRule="auto"/>
              <w:jc w:val="left"/>
            </w:pPr>
            <w:r>
              <w:rPr>
                <w:rFonts w:ascii="Liberation Sans" w:hAnsi="Liberation Sans"/>
                <w:sz w:val="14"/>
              </w:rPr>
              <w:t>u/F mesh-refined &lt;=5 %, margins &gt;=1.5</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FEA-02</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Global nonlinear</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20 m/s mooring/broadside transient</w:t>
            </w:r>
          </w:p>
        </w:tc>
        <w:tc>
          <w:tcPr>
            <w:tcW w:type="dxa" w:w="3384"/>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konvergiert; keine progressive Instabilität vor emergency limit</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FEA-03</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4"/>
              </w:rPr>
              <w:t>Local shell/solid</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Nose capture/mooring fitting</w:t>
            </w:r>
          </w:p>
        </w:tc>
        <w:tc>
          <w:tcPr>
            <w:tcW w:type="dxa" w:w="3384"/>
            <w:tcMar>
              <w:top w:w="70" w:type="dxa"/>
              <w:start w:w="80" w:type="dxa"/>
              <w:bottom w:w="70" w:type="dxa"/>
              <w:end w:w="80" w:type="dxa"/>
            </w:tcMar>
            <w:vAlign w:val="center"/>
          </w:tcPr>
          <w:p>
            <w:pPr>
              <w:spacing w:after="0" w:line="240" w:lineRule="auto"/>
              <w:jc w:val="left"/>
            </w:pPr>
            <w:r>
              <w:rPr>
                <w:rFonts w:ascii="Liberation Sans" w:hAnsi="Liberation Sans"/>
                <w:sz w:val="14"/>
              </w:rPr>
              <w:t>lokale Allowables + TEST correlation</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FEA-04</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Shell/membrane</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Gas-cell pressure/ring-longeron panel</w:t>
            </w:r>
          </w:p>
        </w:tc>
        <w:tc>
          <w:tcPr>
            <w:tcW w:type="dxa" w:w="3384"/>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Buckling gate nach knockdowns</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FEA-05</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4"/>
              </w:rPr>
              <w:t>Local shell/solid</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Propulsor pylon root</w:t>
            </w:r>
          </w:p>
        </w:tc>
        <w:tc>
          <w:tcPr>
            <w:tcW w:type="dxa" w:w="3384"/>
            <w:tcMar>
              <w:top w:w="70" w:type="dxa"/>
              <w:start w:w="80" w:type="dxa"/>
              <w:bottom w:w="70" w:type="dxa"/>
              <w:end w:w="80" w:type="dxa"/>
            </w:tcMar>
            <w:vAlign w:val="center"/>
          </w:tcPr>
          <w:p>
            <w:pPr>
              <w:spacing w:after="0" w:line="240" w:lineRule="auto"/>
              <w:jc w:val="left"/>
            </w:pPr>
            <w:r>
              <w:rPr>
                <w:rFonts w:ascii="Liberation Sans" w:hAnsi="Liberation Sans"/>
                <w:sz w:val="14"/>
              </w:rPr>
              <w:t>margin &gt;=1.5 + correlation</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FEA-06</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Local shell/solid</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Cabin/battery/PEMFC hardpoint</w:t>
            </w:r>
          </w:p>
        </w:tc>
        <w:tc>
          <w:tcPr>
            <w:tcW w:type="dxa" w:w="3384"/>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margin &gt;=1.5 + rig correlation</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FEA-07</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4"/>
              </w:rPr>
              <w:t>Local shell/solid</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Tail root</w:t>
            </w:r>
          </w:p>
        </w:tc>
        <w:tc>
          <w:tcPr>
            <w:tcW w:type="dxa" w:w="3384"/>
            <w:tcMar>
              <w:top w:w="70" w:type="dxa"/>
              <w:start w:w="80" w:type="dxa"/>
              <w:bottom w:w="70" w:type="dxa"/>
              <w:end w:w="80" w:type="dxa"/>
            </w:tcMar>
            <w:vAlign w:val="center"/>
          </w:tcPr>
          <w:p>
            <w:pPr>
              <w:spacing w:after="0" w:line="240" w:lineRule="auto"/>
              <w:jc w:val="left"/>
            </w:pPr>
            <w:r>
              <w:rPr>
                <w:rFonts w:ascii="Liberation Sans" w:hAnsi="Liberation Sans"/>
                <w:sz w:val="14"/>
              </w:rPr>
              <w:t>margin &gt;=1.5; no instability</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FEA-08</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Local shell/solid</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Evacuation-core cutout</w:t>
            </w:r>
          </w:p>
        </w:tc>
        <w:tc>
          <w:tcPr>
            <w:tcW w:type="dxa" w:w="3384"/>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margin &gt;=1.5</w:t>
            </w:r>
          </w:p>
        </w:tc>
      </w:tr>
      <w:tr>
        <w:tc>
          <w:tcPr>
            <w:tcW w:type="dxa" w:w="1080"/>
            <w:tcMar>
              <w:top w:w="70" w:type="dxa"/>
              <w:start w:w="80" w:type="dxa"/>
              <w:bottom w:w="70" w:type="dxa"/>
              <w:end w:w="80" w:type="dxa"/>
            </w:tcMar>
            <w:vAlign w:val="center"/>
          </w:tcPr>
          <w:p>
            <w:pPr>
              <w:spacing w:after="0" w:line="240" w:lineRule="auto"/>
              <w:jc w:val="left"/>
            </w:pPr>
            <w:r>
              <w:rPr>
                <w:rFonts w:ascii="Liberation Sans" w:hAnsi="Liberation Sans"/>
                <w:sz w:val="14"/>
              </w:rPr>
              <w:t>FEA-09</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4"/>
              </w:rPr>
              <w:t>Modal/aeroelastic</w:t>
            </w:r>
          </w:p>
        </w:tc>
        <w:tc>
          <w:tcPr>
            <w:tcW w:type="dxa" w:w="2880"/>
            <w:tcMar>
              <w:top w:w="70" w:type="dxa"/>
              <w:start w:w="80" w:type="dxa"/>
              <w:bottom w:w="70" w:type="dxa"/>
              <w:end w:w="80" w:type="dxa"/>
            </w:tcMar>
            <w:vAlign w:val="center"/>
          </w:tcPr>
          <w:p>
            <w:pPr>
              <w:spacing w:after="0" w:line="240" w:lineRule="auto"/>
              <w:jc w:val="left"/>
            </w:pPr>
            <w:r>
              <w:rPr>
                <w:rFonts w:ascii="Liberation Sans" w:hAnsi="Liberation Sans"/>
                <w:sz w:val="14"/>
              </w:rPr>
              <w:t>Whole vehicle modes</w:t>
            </w:r>
          </w:p>
        </w:tc>
        <w:tc>
          <w:tcPr>
            <w:tcW w:type="dxa" w:w="3384"/>
            <w:tcMar>
              <w:top w:w="70" w:type="dxa"/>
              <w:start w:w="80" w:type="dxa"/>
              <w:bottom w:w="70" w:type="dxa"/>
              <w:end w:w="80" w:type="dxa"/>
            </w:tcMar>
            <w:vAlign w:val="center"/>
          </w:tcPr>
          <w:p>
            <w:pPr>
              <w:spacing w:after="0" w:line="240" w:lineRule="auto"/>
              <w:jc w:val="left"/>
            </w:pPr>
            <w:r>
              <w:rPr>
                <w:rFonts w:ascii="Liberation Sans" w:hAnsi="Liberation Sans"/>
                <w:sz w:val="14"/>
              </w:rPr>
              <w:t>mode/control/prop forcing separation + GVT plan</w:t>
            </w:r>
          </w:p>
        </w:tc>
      </w:tr>
      <w:tr>
        <w:tc>
          <w:tcPr>
            <w:tcW w:type="dxa" w:w="10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FEA-10</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Damage tolerance</w:t>
            </w:r>
          </w:p>
        </w:tc>
        <w:tc>
          <w:tcPr>
            <w:tcW w:type="dxa" w:w="288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Impact/delam at node/longeron</w:t>
            </w:r>
          </w:p>
        </w:tc>
        <w:tc>
          <w:tcPr>
            <w:tcW w:type="dxa" w:w="3384"/>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residual criteria authority-agreed</w:t>
            </w:r>
          </w:p>
        </w:tc>
      </w:tr>
    </w:tbl>
    <w:p>
      <w:pPr>
        <w:spacing w:after="40"/>
        <w:widowControl/>
      </w:pPr>
    </w:p>
    <w:p>
      <w:pPr>
        <w:spacing w:after="140" w:line="259" w:lineRule="auto"/>
        <w:widowControl/>
      </w:pPr>
      <w:r>
        <w:rPr>
          <w:rFonts w:ascii="Liberation Serif" w:hAnsi="Liberation Serif"/>
        </w:rPr>
        <w:t>Für AN-01 bis AN-04 setzt die Kostenmatrix unabhängige 2026-ROM-Werte von grob 0,15 bis 1,0 Mio. EUR je Arbeitspaket an, abhängig von Geometrieaufbereitung, Solver-Lizenzen/HPC, Iterationen und Reviewtiefe. Das sind Planungswerte, keine Anbieterpreise.</w:t>
      </w:r>
    </w:p>
    <w:p>
      <w:pPr>
        <w:pStyle w:val="Heading2"/>
        <w:keepNext/>
        <w:widowControl/>
      </w:pPr>
      <w:r>
        <w:rPr>
          <w:rFonts w:ascii="Liberation Serif" w:hAnsi="Liberation Serif"/>
        </w:rPr>
        <w:t>6.3 Geeignete Einrichtungen und Anbieter</w:t>
      </w:r>
    </w:p>
    <w:p>
      <w:pPr>
        <w:spacing w:after="140" w:line="259" w:lineRule="auto"/>
        <w:widowControl/>
      </w:pPr>
      <w:r>
        <w:rPr>
          <w:rFonts w:ascii="Liberation Serif" w:hAnsi="Liberation Serif"/>
        </w:rPr>
        <w:t>Die folgenden Einrichtungen wurden anhand ihrer aktuell öffentlich beschriebenen Fähigkeiten ausgewählt. Eine Nennung bedeutet keine Verfügbarkeits-, Kapazitäts- oder Zertifizierungszusage für H350. Für jede reale Beauftragung ist eine technische RFQ und eine Facility-Compatibility-Prüfung erforderlich.</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1944"/>
            <w:shd w:fill="DCE6ED"/>
            <w:tcMar>
              <w:top w:w="90" w:type="dxa"/>
              <w:start w:w="90" w:type="dxa"/>
              <w:bottom w:w="90" w:type="dxa"/>
              <w:end w:w="90" w:type="dxa"/>
            </w:tcMar>
            <w:vAlign w:val="center"/>
          </w:tcPr>
          <w:p>
            <w:pPr>
              <w:jc w:val="center"/>
            </w:pPr>
            <w:r>
              <w:rPr>
                <w:rFonts w:ascii="Liberation Sans" w:hAnsi="Liberation Sans"/>
                <w:b/>
                <w:sz w:val="14"/>
              </w:rPr>
              <w:t>Einrichtung</w:t>
            </w:r>
          </w:p>
        </w:tc>
        <w:tc>
          <w:tcPr>
            <w:tcW w:type="dxa" w:w="1800"/>
            <w:shd w:fill="DCE6ED"/>
            <w:tcMar>
              <w:top w:w="90" w:type="dxa"/>
              <w:start w:w="90" w:type="dxa"/>
              <w:bottom w:w="90" w:type="dxa"/>
              <w:end w:w="90" w:type="dxa"/>
            </w:tcMar>
            <w:vAlign w:val="center"/>
          </w:tcPr>
          <w:p>
            <w:pPr>
              <w:jc w:val="center"/>
            </w:pPr>
            <w:r>
              <w:rPr>
                <w:rFonts w:ascii="Liberation Sans" w:hAnsi="Liberation Sans"/>
                <w:b/>
                <w:sz w:val="14"/>
              </w:rPr>
              <w:t>Ort</w:t>
            </w:r>
          </w:p>
        </w:tc>
        <w:tc>
          <w:tcPr>
            <w:tcW w:type="dxa" w:w="5328"/>
            <w:shd w:fill="DCE6ED"/>
            <w:tcMar>
              <w:top w:w="90" w:type="dxa"/>
              <w:start w:w="90" w:type="dxa"/>
              <w:bottom w:w="90" w:type="dxa"/>
              <w:end w:w="90" w:type="dxa"/>
            </w:tcMar>
            <w:vAlign w:val="center"/>
          </w:tcPr>
          <w:p>
            <w:pPr>
              <w:jc w:val="center"/>
            </w:pPr>
            <w:r>
              <w:rPr>
                <w:rFonts w:ascii="Liberation Sans" w:hAnsi="Liberation Sans"/>
                <w:b/>
                <w:sz w:val="14"/>
              </w:rPr>
              <w:t>öffentlich beschriebene relevante Fähigkeit</w:t>
            </w:r>
          </w:p>
        </w:tc>
      </w:tr>
      <w:tr>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4"/>
              </w:rPr>
              <w:t>IABG</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4"/>
              </w:rPr>
              <w:t>Ottobrunn, Germany</w:t>
            </w:r>
          </w:p>
        </w:tc>
        <w:tc>
          <w:tcPr>
            <w:tcW w:type="dxa" w:w="5328"/>
            <w:tcMar>
              <w:top w:w="70" w:type="dxa"/>
              <w:start w:w="80" w:type="dxa"/>
              <w:bottom w:w="70" w:type="dxa"/>
              <w:end w:w="80" w:type="dxa"/>
            </w:tcMar>
            <w:vAlign w:val="center"/>
          </w:tcPr>
          <w:p>
            <w:pPr>
              <w:spacing w:after="0" w:line="240" w:lineRule="auto"/>
              <w:jc w:val="left"/>
            </w:pPr>
            <w:r>
              <w:rPr>
                <w:rFonts w:ascii="Liberation Sans" w:hAnsi="Liberation Sans"/>
                <w:sz w:val="14"/>
              </w:rPr>
              <w:t>Static/dynamic structural, fatigue, full-airframe/subsystem/component; EMC/HIRF/secondary lightning; virtual testing</w:t>
            </w:r>
          </w:p>
        </w:tc>
      </w:tr>
      <w:tr>
        <w:tc>
          <w:tcPr>
            <w:tcW w:type="dxa" w:w="1944"/>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Applus+ IMA Dresden</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Dresden, Germany</w:t>
            </w:r>
          </w:p>
        </w:tc>
        <w:tc>
          <w:tcPr>
            <w:tcW w:type="dxa" w:w="5328"/>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Aerospace structural/material/component/full-scale tests; composites fatigue up to 2 MN and climatic exposure</w:t>
            </w:r>
          </w:p>
        </w:tc>
      </w:tr>
      <w:tr>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4"/>
              </w:rPr>
              <w:t>DNW NWB</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4"/>
              </w:rPr>
              <w:t>Braunschweig, Germany</w:t>
            </w:r>
          </w:p>
        </w:tc>
        <w:tc>
          <w:tcPr>
            <w:tcW w:type="dxa" w:w="5328"/>
            <w:tcMar>
              <w:top w:w="70" w:type="dxa"/>
              <w:start w:w="80" w:type="dxa"/>
              <w:bottom w:w="70" w:type="dxa"/>
              <w:end w:w="80" w:type="dxa"/>
            </w:tcMar>
            <w:vAlign w:val="center"/>
          </w:tcPr>
          <w:p>
            <w:pPr>
              <w:spacing w:after="0" w:line="240" w:lineRule="auto"/>
              <w:jc w:val="left"/>
            </w:pPr>
            <w:r>
              <w:rPr>
                <w:rFonts w:ascii="Liberation Sans" w:hAnsi="Liberation Sans"/>
                <w:sz w:val="14"/>
              </w:rPr>
              <w:t>Low-speed aeroacoustic/dynamic wind tunnel, 3.25 x 2.8 m, up to 90 m/s, 6-DOF dynamic mechanism</w:t>
            </w:r>
          </w:p>
        </w:tc>
      </w:tr>
      <w:tr>
        <w:tc>
          <w:tcPr>
            <w:tcW w:type="dxa" w:w="1944"/>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DNW LLF</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Marknesse, Netherlands</w:t>
            </w:r>
          </w:p>
        </w:tc>
        <w:tc>
          <w:tcPr>
            <w:tcW w:type="dxa" w:w="5328"/>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Large low-speed wind tunnel, up to 9.5 x 9.5 m; powered/propeller aircraft and dynamic testing</w:t>
            </w:r>
          </w:p>
        </w:tc>
      </w:tr>
      <w:tr>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4"/>
              </w:rPr>
              <w:t>DEKRA Battery Test Center</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4"/>
              </w:rPr>
              <w:t>Klettwitz, Germany</w:t>
            </w:r>
          </w:p>
        </w:tc>
        <w:tc>
          <w:tcPr>
            <w:tcW w:type="dxa" w:w="5328"/>
            <w:tcMar>
              <w:top w:w="70" w:type="dxa"/>
              <w:start w:w="80" w:type="dxa"/>
              <w:bottom w:w="70" w:type="dxa"/>
              <w:end w:w="80" w:type="dxa"/>
            </w:tcMar>
            <w:vAlign w:val="center"/>
          </w:tcPr>
          <w:p>
            <w:pPr>
              <w:spacing w:after="0" w:line="240" w:lineRule="auto"/>
              <w:jc w:val="left"/>
            </w:pPr>
            <w:r>
              <w:rPr>
                <w:rFonts w:ascii="Liberation Sans" w:hAnsi="Liberation Sans"/>
                <w:sz w:val="14"/>
              </w:rPr>
              <w:t>Large-scale battery thermal propagation/fire testing under controlled conditions</w:t>
            </w:r>
          </w:p>
        </w:tc>
      </w:tr>
      <w:tr>
        <w:tc>
          <w:tcPr>
            <w:tcW w:type="dxa" w:w="1944"/>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BAM TTS</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Horstwalde/Baruth, Germany</w:t>
            </w:r>
          </w:p>
        </w:tc>
        <w:tc>
          <w:tcPr>
            <w:tcW w:type="dxa" w:w="5328"/>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12 km2 technical safety site; fire/explosion, energy storage, H2; LH2 field planned</w:t>
            </w:r>
          </w:p>
        </w:tc>
      </w:tr>
      <w:tr>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4"/>
              </w:rPr>
              <w:t>TUV SUD H2 Lab</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4"/>
              </w:rPr>
              <w:t>Garching, Germany</w:t>
            </w:r>
          </w:p>
        </w:tc>
        <w:tc>
          <w:tcPr>
            <w:tcW w:type="dxa" w:w="5328"/>
            <w:tcMar>
              <w:top w:w="70" w:type="dxa"/>
              <w:start w:w="80" w:type="dxa"/>
              <w:bottom w:w="70" w:type="dxa"/>
              <w:end w:w="80" w:type="dxa"/>
            </w:tcMar>
            <w:vAlign w:val="center"/>
          </w:tcPr>
          <w:p>
            <w:pPr>
              <w:spacing w:after="0" w:line="240" w:lineRule="auto"/>
              <w:jc w:val="left"/>
            </w:pPr>
            <w:r>
              <w:rPr>
                <w:rFonts w:ascii="Liberation Sans" w:hAnsi="Liberation Sans"/>
                <w:sz w:val="14"/>
              </w:rPr>
              <w:t>H2 material/component/system testing; 150 MPa cycling, -40 to +180 C, flow/permeation/leak testing</w:t>
            </w:r>
          </w:p>
        </w:tc>
      </w:tr>
      <w:tr>
        <w:tc>
          <w:tcPr>
            <w:tcW w:type="dxa" w:w="1944"/>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ZAL</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Hamburg, Germany</w:t>
            </w:r>
          </w:p>
        </w:tc>
        <w:tc>
          <w:tcPr>
            <w:tcW w:type="dxa" w:w="5328"/>
            <w:tcMar>
              <w:top w:w="70" w:type="dxa"/>
              <w:start w:w="80" w:type="dxa"/>
              <w:bottom w:w="70" w:type="dxa"/>
              <w:end w:w="80" w:type="dxa"/>
            </w:tcMar>
            <w:vAlign w:val="center"/>
            <w:shd w:fill="F7F9FA"/>
          </w:tcPr>
          <w:p>
            <w:pPr>
              <w:spacing w:after="0" w:line="240" w:lineRule="auto"/>
              <w:jc w:val="left"/>
            </w:pPr>
            <w:r>
              <w:rPr>
                <w:rFonts w:ascii="Liberation Sans" w:hAnsi="Liberation Sans"/>
                <w:sz w:val="14"/>
              </w:rPr>
              <w:t>Fuel Cell Lab open to partners; Cabin &amp; Cargo Test Rig &gt;200 m2, 10 m high, segments to 15 m x 7.8 m</w:t>
            </w:r>
          </w:p>
        </w:tc>
      </w:tr>
    </w:tbl>
    <w:p>
      <w:pPr>
        <w:spacing w:after="40"/>
        <w:widowControl/>
      </w:pPr>
    </w:p>
    <w:p>
      <w:pPr>
        <w:spacing w:after="140" w:line="259" w:lineRule="auto"/>
        <w:widowControl/>
      </w:pPr>
      <w:r>
        <w:rPr>
          <w:rFonts w:ascii="Liberation Serif" w:hAnsi="Liberation Serif"/>
        </w:rPr>
        <w:t>IABG beschreibt statische/dynamische Strukturprüfungen über die gesamte Testpyramide bis hin zu kompletten Flugzeugstrukturen, 5.000 m2 Prüfhallen sowie ein ISO-17025-EMV-Labor mit DO-160-basierten Tests, HIRF &gt;2.000 V/m und Simulation sekundärer Blitzeffekte. Applus+ IMA Dresden deckt Luftfahrt-Struktur-/Materialtests bis Full-Scale ab; für Composites nennt das Unternehmen Ermüdungsprüfungen bis 2 MN und Klimaeinfluss bis 85 °C/85 % RH bzw. -60 °C. DNW NWB bietet einen 3,25 x 2,8-m-Niedergeschwindigkeitskanal bis 90 m/s mit dynamischem 6-DOF-Mechanismus; DNW LLF in Marknesse bietet bis 9,5 x 9,5 m Testquerschnitt und ist für propellergetriebene Modelle geeignet.</w:t>
      </w:r>
    </w:p>
    <w:p>
      <w:pPr>
        <w:spacing w:after="140" w:line="259" w:lineRule="auto"/>
        <w:widowControl/>
      </w:pPr>
      <w:r>
        <w:rPr>
          <w:rFonts w:ascii="Liberation Serif" w:hAnsi="Liberation Serif"/>
        </w:rPr>
        <w:t>DEKRA Klettwitz hat 2026 eine Fire-Test-Hall für Thermal-Propagation-Tests am Battery Test Center in Betrieb. BAM betreibt das 12-km2-TTS in Horstwalde mit Brand-/Explosionsfeldern und Energiespeichertests; ein Testzentrum für moderne Wasserstofftechnologien mit geplantem LH2-Prüffeld wird aufgebaut. TÜV SÜD eröffnete 2026 in Garching ein H2-Labor mit Material-/Komponenten-/Systemtests, Druckzyklen bis mindestens 150 MPa und -40 bis +180 °C. ZAL Hamburg bietet ein Fuel Cell Lab und einen über 200 m2 großen, 10 m hohen Cabin &amp; Cargo Test Rig.</w:t>
      </w:r>
    </w:p>
    <w:tbl>
      <w:tblPr>
        <w:tblW w:type="auto" w:w="0"/>
        <w:jc w:val="center"/>
        <w:tblLayout w:type="fixed"/>
        <w:tblLook w:firstColumn="1" w:firstRow="1" w:lastColumn="0" w:lastRow="0" w:noHBand="0" w:noVBand="1" w:val="04A0"/>
      </w:tblPr>
      <w:tblGrid>
        <w:gridCol w:w="9072"/>
      </w:tblGrid>
      <w:tr>
        <w:tc>
          <w:tcPr>
            <w:tcW w:type="dxa" w:w="10080"/>
            <w:shd w:fill="EAF1F5"/>
            <w:tcMar>
              <w:top w:w="120" w:type="dxa"/>
              <w:start w:w="150" w:type="dxa"/>
              <w:bottom w:w="120" w:type="dxa"/>
              <w:end w:w="150" w:type="dxa"/>
            </w:tcMar>
          </w:tcPr>
          <w:p>
            <w:r>
              <w:rPr>
                <w:b/>
                <w:color w:val="204658"/>
              </w:rPr>
              <w:t xml:space="preserve">FULL-SHIP-HINWEIS  </w:t>
            </w:r>
            <w:r>
              <w:t>Für einen 350-m-H350 wurde in der Recherche keine bestehende Standard-Prüfhalle bestätigt, die Whole-Ship-Strukturproof, 380 x 85 x 80-m-Integrationshülle und vollständige Fahrzeuginstrumentierung einfach "buchen" lässt. TEST-12 muss deshalb als eigener Integrationsstandort/Programmteil geplant werden; IABG/IMA sind eher Know-how-/Subsystem-/Testengineering-Partner als automatisch passende 350-m-Halle.</w:t>
            </w:r>
          </w:p>
        </w:tc>
      </w:tr>
    </w:tbl>
    <w:p>
      <w:pPr>
        <w:spacing w:after="20"/>
        <w:widowControl/>
      </w:pPr>
    </w:p>
    <w:p>
      <w:pPr>
        <w:pStyle w:val="Heading2"/>
        <w:keepNext/>
        <w:widowControl/>
      </w:pPr>
      <w:r>
        <w:rPr>
          <w:rFonts w:ascii="Liberation Serif" w:hAnsi="Liberation Serif"/>
        </w:rPr>
        <w:t>6.4 Testprogramm TEST-01 bis TEST-13 mit Kosten und Entry Gates</w:t>
      </w:r>
    </w:p>
    <w:tbl>
      <w:tblPr>
        <w:tblStyle w:val="TableGrid"/>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val="true"/>
        </w:trPr>
        <w:tc>
          <w:tcPr>
            <w:tcW w:type="dxa" w:w="864"/>
            <w:shd w:fill="DCE6ED"/>
            <w:tcMar>
              <w:top w:w="90" w:type="dxa"/>
              <w:start w:w="90" w:type="dxa"/>
              <w:bottom w:w="90" w:type="dxa"/>
              <w:end w:w="90" w:type="dxa"/>
            </w:tcMar>
            <w:vAlign w:val="center"/>
          </w:tcPr>
          <w:p>
            <w:pPr>
              <w:jc w:val="center"/>
            </w:pPr>
            <w:r>
              <w:rPr>
                <w:rFonts w:ascii="Liberation Sans" w:hAnsi="Liberation Sans"/>
                <w:b/>
                <w:sz w:val="13"/>
              </w:rPr>
              <w:t>ID</w:t>
            </w:r>
          </w:p>
        </w:tc>
        <w:tc>
          <w:tcPr>
            <w:tcW w:type="dxa" w:w="3168"/>
            <w:shd w:fill="DCE6ED"/>
            <w:tcMar>
              <w:top w:w="90" w:type="dxa"/>
              <w:start w:w="90" w:type="dxa"/>
              <w:bottom w:w="90" w:type="dxa"/>
              <w:end w:w="90" w:type="dxa"/>
            </w:tcMar>
            <w:vAlign w:val="center"/>
          </w:tcPr>
          <w:p>
            <w:pPr>
              <w:jc w:val="center"/>
            </w:pPr>
            <w:r>
              <w:rPr>
                <w:rFonts w:ascii="Liberation Sans" w:hAnsi="Liberation Sans"/>
                <w:b/>
                <w:sz w:val="13"/>
              </w:rPr>
              <w:t>Arbeit</w:t>
            </w:r>
          </w:p>
        </w:tc>
        <w:tc>
          <w:tcPr>
            <w:tcW w:type="dxa" w:w="2520"/>
            <w:shd w:fill="DCE6ED"/>
            <w:tcMar>
              <w:top w:w="90" w:type="dxa"/>
              <w:start w:w="90" w:type="dxa"/>
              <w:bottom w:w="90" w:type="dxa"/>
              <w:end w:w="90" w:type="dxa"/>
            </w:tcMar>
            <w:vAlign w:val="center"/>
          </w:tcPr>
          <w:p>
            <w:pPr>
              <w:jc w:val="center"/>
            </w:pPr>
            <w:r>
              <w:rPr>
                <w:rFonts w:ascii="Liberation Sans" w:hAnsi="Liberation Sans"/>
                <w:b/>
                <w:sz w:val="13"/>
              </w:rPr>
              <w:t>mögliche Anbieter</w:t>
            </w:r>
          </w:p>
        </w:tc>
        <w:tc>
          <w:tcPr>
            <w:tcW w:type="dxa" w:w="1296"/>
            <w:shd w:fill="DCE6ED"/>
            <w:tcMar>
              <w:top w:w="90" w:type="dxa"/>
              <w:start w:w="90" w:type="dxa"/>
              <w:bottom w:w="90" w:type="dxa"/>
              <w:end w:w="90" w:type="dxa"/>
            </w:tcMar>
            <w:vAlign w:val="center"/>
          </w:tcPr>
          <w:p>
            <w:pPr>
              <w:jc w:val="center"/>
            </w:pPr>
            <w:r>
              <w:rPr>
                <w:rFonts w:ascii="Liberation Sans" w:hAnsi="Liberation Sans"/>
                <w:b/>
                <w:sz w:val="13"/>
              </w:rPr>
              <w:t>ROM [Mio. EUR]</w:t>
            </w:r>
          </w:p>
        </w:tc>
        <w:tc>
          <w:tcPr>
            <w:tcW w:type="dxa" w:w="936"/>
            <w:shd w:fill="DCE6ED"/>
            <w:tcMar>
              <w:top w:w="90" w:type="dxa"/>
              <w:start w:w="90" w:type="dxa"/>
              <w:bottom w:w="90" w:type="dxa"/>
              <w:end w:w="90" w:type="dxa"/>
            </w:tcMar>
            <w:vAlign w:val="center"/>
          </w:tcPr>
          <w:p>
            <w:pPr>
              <w:jc w:val="center"/>
            </w:pPr>
            <w:r>
              <w:rPr>
                <w:rFonts w:ascii="Liberation Sans" w:hAnsi="Liberation Sans"/>
                <w:b/>
                <w:sz w:val="13"/>
              </w:rPr>
              <w:t>Lead [Mon.]</w:t>
            </w:r>
          </w:p>
        </w:tc>
        <w:tc>
          <w:tcPr>
            <w:tcW w:type="dxa" w:w="936"/>
            <w:shd w:fill="DCE6ED"/>
            <w:tcMar>
              <w:top w:w="90" w:type="dxa"/>
              <w:start w:w="90" w:type="dxa"/>
              <w:bottom w:w="90" w:type="dxa"/>
              <w:end w:w="90" w:type="dxa"/>
            </w:tcMar>
            <w:vAlign w:val="center"/>
          </w:tcPr>
          <w:p>
            <w:pPr>
              <w:jc w:val="center"/>
            </w:pPr>
            <w:r>
              <w:rPr>
                <w:rFonts w:ascii="Liberation Sans" w:hAnsi="Liberation Sans"/>
                <w:b/>
                <w:sz w:val="13"/>
              </w:rPr>
              <w:t>Exec. [Mon.]</w:t>
            </w:r>
          </w:p>
        </w:tc>
      </w:tr>
      <w:tr>
        <w:tc>
          <w:tcPr>
            <w:tcW w:type="dxa" w:w="864"/>
            <w:tcMar>
              <w:top w:w="70" w:type="dxa"/>
              <w:start w:w="80" w:type="dxa"/>
              <w:bottom w:w="70" w:type="dxa"/>
              <w:end w:w="80" w:type="dxa"/>
            </w:tcMar>
            <w:vAlign w:val="center"/>
          </w:tcPr>
          <w:p>
            <w:pPr>
              <w:spacing w:after="0" w:line="240" w:lineRule="auto"/>
              <w:jc w:val="left"/>
            </w:pPr>
            <w:r>
              <w:rPr>
                <w:rFonts w:ascii="Liberation Sans" w:hAnsi="Liberation Sans"/>
                <w:sz w:val="13"/>
              </w:rPr>
              <w:t>TEST-01</w:t>
            </w:r>
          </w:p>
        </w:tc>
        <w:tc>
          <w:tcPr>
            <w:tcW w:type="dxa" w:w="3168"/>
            <w:tcMar>
              <w:top w:w="70" w:type="dxa"/>
              <w:start w:w="80" w:type="dxa"/>
              <w:bottom w:w="70" w:type="dxa"/>
              <w:end w:w="80" w:type="dxa"/>
            </w:tcMar>
            <w:vAlign w:val="center"/>
          </w:tcPr>
          <w:p>
            <w:pPr>
              <w:spacing w:after="0" w:line="240" w:lineRule="auto"/>
              <w:jc w:val="left"/>
            </w:pPr>
            <w:r>
              <w:rPr>
                <w:rFonts w:ascii="Liberation Sans" w:hAnsi="Liberation Sans"/>
                <w:sz w:val="13"/>
              </w:rPr>
              <w:t>CFRP coupon allowables / hot-wet / static / fatigue</w:t>
            </w:r>
          </w:p>
        </w:tc>
        <w:tc>
          <w:tcPr>
            <w:tcW w:type="dxa" w:w="2520"/>
            <w:tcMar>
              <w:top w:w="70" w:type="dxa"/>
              <w:start w:w="80" w:type="dxa"/>
              <w:bottom w:w="70" w:type="dxa"/>
              <w:end w:w="80" w:type="dxa"/>
            </w:tcMar>
            <w:vAlign w:val="center"/>
          </w:tcPr>
          <w:p>
            <w:pPr>
              <w:spacing w:after="0" w:line="240" w:lineRule="auto"/>
              <w:jc w:val="left"/>
            </w:pPr>
            <w:r>
              <w:rPr>
                <w:rFonts w:ascii="Liberation Sans" w:hAnsi="Liberation Sans"/>
                <w:sz w:val="13"/>
              </w:rPr>
              <w:t>Applus+ IMA Dresden; IABG</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3"/>
              </w:rPr>
              <w:t>0,18-0,70</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2-5</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3-9</w:t>
            </w:r>
          </w:p>
        </w:tc>
      </w:tr>
      <w:tr>
        <w:tc>
          <w:tcPr>
            <w:tcW w:type="dxa" w:w="86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TEST-02</w:t>
            </w:r>
          </w:p>
        </w:tc>
        <w:tc>
          <w:tcPr>
            <w:tcW w:type="dxa" w:w="3168"/>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Bonded/bolted CFRP joint element campaign</w:t>
            </w:r>
          </w:p>
        </w:tc>
        <w:tc>
          <w:tcPr>
            <w:tcW w:type="dxa" w:w="2520"/>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Applus+ IMA Dresden; IABG</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0,12-0,50</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2-5</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2-6</w:t>
            </w:r>
          </w:p>
        </w:tc>
      </w:tr>
      <w:tr>
        <w:tc>
          <w:tcPr>
            <w:tcW w:type="dxa" w:w="864"/>
            <w:tcMar>
              <w:top w:w="70" w:type="dxa"/>
              <w:start w:w="80" w:type="dxa"/>
              <w:bottom w:w="70" w:type="dxa"/>
              <w:end w:w="80" w:type="dxa"/>
            </w:tcMar>
            <w:vAlign w:val="center"/>
          </w:tcPr>
          <w:p>
            <w:pPr>
              <w:spacing w:after="0" w:line="240" w:lineRule="auto"/>
              <w:jc w:val="left"/>
            </w:pPr>
            <w:r>
              <w:rPr>
                <w:rFonts w:ascii="Liberation Sans" w:hAnsi="Liberation Sans"/>
                <w:sz w:val="13"/>
              </w:rPr>
              <w:t>TEST-03</w:t>
            </w:r>
          </w:p>
        </w:tc>
        <w:tc>
          <w:tcPr>
            <w:tcW w:type="dxa" w:w="3168"/>
            <w:tcMar>
              <w:top w:w="70" w:type="dxa"/>
              <w:start w:w="80" w:type="dxa"/>
              <w:bottom w:w="70" w:type="dxa"/>
              <w:end w:w="80" w:type="dxa"/>
            </w:tcMar>
            <w:vAlign w:val="center"/>
          </w:tcPr>
          <w:p>
            <w:pPr>
              <w:spacing w:after="0" w:line="240" w:lineRule="auto"/>
              <w:jc w:val="left"/>
            </w:pPr>
            <w:r>
              <w:rPr>
                <w:rFonts w:ascii="Liberation Sans" w:hAnsi="Liberation Sans"/>
                <w:sz w:val="13"/>
              </w:rPr>
              <w:t>TA-01 full-size ring-longeron node multi-axial structural test</w:t>
            </w:r>
          </w:p>
        </w:tc>
        <w:tc>
          <w:tcPr>
            <w:tcW w:type="dxa" w:w="2520"/>
            <w:tcMar>
              <w:top w:w="70" w:type="dxa"/>
              <w:start w:w="80" w:type="dxa"/>
              <w:bottom w:w="70" w:type="dxa"/>
              <w:end w:w="80" w:type="dxa"/>
            </w:tcMar>
            <w:vAlign w:val="center"/>
          </w:tcPr>
          <w:p>
            <w:pPr>
              <w:spacing w:after="0" w:line="240" w:lineRule="auto"/>
              <w:jc w:val="left"/>
            </w:pPr>
            <w:r>
              <w:rPr>
                <w:rFonts w:ascii="Liberation Sans" w:hAnsi="Liberation Sans"/>
                <w:sz w:val="13"/>
              </w:rPr>
              <w:t>Applus+ IMA Dresden; IABG</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3"/>
              </w:rPr>
              <w:t>0,20-0,90</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3-6</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2-5</w:t>
            </w:r>
          </w:p>
        </w:tc>
      </w:tr>
      <w:tr>
        <w:tc>
          <w:tcPr>
            <w:tcW w:type="dxa" w:w="86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TEST-04</w:t>
            </w:r>
          </w:p>
        </w:tc>
        <w:tc>
          <w:tcPr>
            <w:tcW w:type="dxa" w:w="3168"/>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Cabin/battery/PEMFC hardpoint rig</w:t>
            </w:r>
          </w:p>
        </w:tc>
        <w:tc>
          <w:tcPr>
            <w:tcW w:type="dxa" w:w="2520"/>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Applus+ IMA Dresden; IABG</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0,12-0,55</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2-5</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1-4</w:t>
            </w:r>
          </w:p>
        </w:tc>
      </w:tr>
      <w:tr>
        <w:tc>
          <w:tcPr>
            <w:tcW w:type="dxa" w:w="864"/>
            <w:tcMar>
              <w:top w:w="70" w:type="dxa"/>
              <w:start w:w="80" w:type="dxa"/>
              <w:bottom w:w="70" w:type="dxa"/>
              <w:end w:w="80" w:type="dxa"/>
            </w:tcMar>
            <w:vAlign w:val="center"/>
          </w:tcPr>
          <w:p>
            <w:pPr>
              <w:spacing w:after="0" w:line="240" w:lineRule="auto"/>
              <w:jc w:val="left"/>
            </w:pPr>
            <w:r>
              <w:rPr>
                <w:rFonts w:ascii="Liberation Sans" w:hAnsi="Liberation Sans"/>
                <w:sz w:val="13"/>
              </w:rPr>
              <w:t>TEST-05</w:t>
            </w:r>
          </w:p>
        </w:tc>
        <w:tc>
          <w:tcPr>
            <w:tcW w:type="dxa" w:w="3168"/>
            <w:tcMar>
              <w:top w:w="70" w:type="dxa"/>
              <w:start w:w="80" w:type="dxa"/>
              <w:bottom w:w="70" w:type="dxa"/>
              <w:end w:w="80" w:type="dxa"/>
            </w:tcMar>
            <w:vAlign w:val="center"/>
          </w:tcPr>
          <w:p>
            <w:pPr>
              <w:spacing w:after="0" w:line="240" w:lineRule="auto"/>
              <w:jc w:val="left"/>
            </w:pPr>
            <w:r>
              <w:rPr>
                <w:rFonts w:ascii="Liberation Sans" w:hAnsi="Liberation Sans"/>
                <w:sz w:val="13"/>
              </w:rPr>
              <w:t>250 kWh representative battery compartment thermal-runaway/propagation/vent test</w:t>
            </w:r>
          </w:p>
        </w:tc>
        <w:tc>
          <w:tcPr>
            <w:tcW w:type="dxa" w:w="2520"/>
            <w:tcMar>
              <w:top w:w="70" w:type="dxa"/>
              <w:start w:w="80" w:type="dxa"/>
              <w:bottom w:w="70" w:type="dxa"/>
              <w:end w:w="80" w:type="dxa"/>
            </w:tcMar>
            <w:vAlign w:val="center"/>
          </w:tcPr>
          <w:p>
            <w:pPr>
              <w:spacing w:after="0" w:line="240" w:lineRule="auto"/>
              <w:jc w:val="left"/>
            </w:pPr>
            <w:r>
              <w:rPr>
                <w:rFonts w:ascii="Liberation Sans" w:hAnsi="Liberation Sans"/>
                <w:sz w:val="13"/>
              </w:rPr>
              <w:t>DEKRA Battery Test Center Klettwitz; BAM TTS</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3"/>
              </w:rPr>
              <w:t>0,15-0,80</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3-8</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1-4</w:t>
            </w:r>
          </w:p>
        </w:tc>
      </w:tr>
      <w:tr>
        <w:tc>
          <w:tcPr>
            <w:tcW w:type="dxa" w:w="86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TEST-06</w:t>
            </w:r>
          </w:p>
        </w:tc>
        <w:tc>
          <w:tcPr>
            <w:tcW w:type="dxa" w:w="3168"/>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1500 V dual-bus HIL + fault/sectionalization + partial-discharge/insulation tests</w:t>
            </w:r>
          </w:p>
        </w:tc>
        <w:tc>
          <w:tcPr>
            <w:tcW w:type="dxa" w:w="2520"/>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IABG EMC/HV partner; specialist HV laboratory</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0,12-0,65</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2-6</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2-5</w:t>
            </w:r>
          </w:p>
        </w:tc>
      </w:tr>
      <w:tr>
        <w:tc>
          <w:tcPr>
            <w:tcW w:type="dxa" w:w="864"/>
            <w:tcMar>
              <w:top w:w="70" w:type="dxa"/>
              <w:start w:w="80" w:type="dxa"/>
              <w:bottom w:w="70" w:type="dxa"/>
              <w:end w:w="80" w:type="dxa"/>
            </w:tcMar>
            <w:vAlign w:val="center"/>
          </w:tcPr>
          <w:p>
            <w:pPr>
              <w:spacing w:after="0" w:line="240" w:lineRule="auto"/>
              <w:jc w:val="left"/>
            </w:pPr>
            <w:r>
              <w:rPr>
                <w:rFonts w:ascii="Liberation Sans" w:hAnsi="Liberation Sans"/>
                <w:sz w:val="13"/>
              </w:rPr>
              <w:t>TEST-07</w:t>
            </w:r>
          </w:p>
        </w:tc>
        <w:tc>
          <w:tcPr>
            <w:tcW w:type="dxa" w:w="3168"/>
            <w:tcMar>
              <w:top w:w="70" w:type="dxa"/>
              <w:start w:w="80" w:type="dxa"/>
              <w:bottom w:w="70" w:type="dxa"/>
              <w:end w:w="80" w:type="dxa"/>
            </w:tcMar>
            <w:vAlign w:val="center"/>
          </w:tcPr>
          <w:p>
            <w:pPr>
              <w:spacing w:after="0" w:line="240" w:lineRule="auto"/>
              <w:jc w:val="left"/>
            </w:pPr>
            <w:r>
              <w:rPr>
                <w:rFonts w:ascii="Liberation Sans" w:hAnsi="Liberation Sans"/>
                <w:sz w:val="13"/>
              </w:rPr>
              <w:t>LH2 tank/valve/vent cold-flow and emergency relief rig</w:t>
            </w:r>
          </w:p>
        </w:tc>
        <w:tc>
          <w:tcPr>
            <w:tcW w:type="dxa" w:w="2520"/>
            <w:tcMar>
              <w:top w:w="70" w:type="dxa"/>
              <w:start w:w="80" w:type="dxa"/>
              <w:bottom w:w="70" w:type="dxa"/>
              <w:end w:w="80" w:type="dxa"/>
            </w:tcMar>
            <w:vAlign w:val="center"/>
          </w:tcPr>
          <w:p>
            <w:pPr>
              <w:spacing w:after="0" w:line="240" w:lineRule="auto"/>
              <w:jc w:val="left"/>
            </w:pPr>
            <w:r>
              <w:rPr>
                <w:rFonts w:ascii="Liberation Sans" w:hAnsi="Liberation Sans"/>
                <w:sz w:val="13"/>
              </w:rPr>
              <w:t>BAM TTS (LH2 field planned); TUV SUD H2 laboratory for components; specialist cryogenic test house</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3"/>
              </w:rPr>
              <w:t>0,30-2,00</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6-18</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2-6</w:t>
            </w:r>
          </w:p>
        </w:tc>
      </w:tr>
      <w:tr>
        <w:tc>
          <w:tcPr>
            <w:tcW w:type="dxa" w:w="86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TEST-08</w:t>
            </w:r>
          </w:p>
        </w:tc>
        <w:tc>
          <w:tcPr>
            <w:tcW w:type="dxa" w:w="3168"/>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H2 leak/detection/ventilation/dispersion rig</w:t>
            </w:r>
          </w:p>
        </w:tc>
        <w:tc>
          <w:tcPr>
            <w:tcW w:type="dxa" w:w="2520"/>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BAM TTS; TUV SUD Garching</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0,15-1,00</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4-10</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1-4</w:t>
            </w:r>
          </w:p>
        </w:tc>
      </w:tr>
      <w:tr>
        <w:tc>
          <w:tcPr>
            <w:tcW w:type="dxa" w:w="864"/>
            <w:tcMar>
              <w:top w:w="70" w:type="dxa"/>
              <w:start w:w="80" w:type="dxa"/>
              <w:bottom w:w="70" w:type="dxa"/>
              <w:end w:w="80" w:type="dxa"/>
            </w:tcMar>
            <w:vAlign w:val="center"/>
          </w:tcPr>
          <w:p>
            <w:pPr>
              <w:spacing w:after="0" w:line="240" w:lineRule="auto"/>
              <w:jc w:val="left"/>
            </w:pPr>
            <w:r>
              <w:rPr>
                <w:rFonts w:ascii="Liberation Sans" w:hAnsi="Liberation Sans"/>
                <w:sz w:val="13"/>
              </w:rPr>
              <w:t>TEST-09</w:t>
            </w:r>
          </w:p>
        </w:tc>
        <w:tc>
          <w:tcPr>
            <w:tcW w:type="dxa" w:w="3168"/>
            <w:tcMar>
              <w:top w:w="70" w:type="dxa"/>
              <w:start w:w="80" w:type="dxa"/>
              <w:bottom w:w="70" w:type="dxa"/>
              <w:end w:w="80" w:type="dxa"/>
            </w:tcMar>
            <w:vAlign w:val="center"/>
          </w:tcPr>
          <w:p>
            <w:pPr>
              <w:spacing w:after="0" w:line="240" w:lineRule="auto"/>
              <w:jc w:val="left"/>
            </w:pPr>
            <w:r>
              <w:rPr>
                <w:rFonts w:ascii="Liberation Sans" w:hAnsi="Liberation Sans"/>
                <w:sz w:val="13"/>
              </w:rPr>
              <w:t>PEMFC + radiator module thermal rig</w:t>
            </w:r>
          </w:p>
        </w:tc>
        <w:tc>
          <w:tcPr>
            <w:tcW w:type="dxa" w:w="2520"/>
            <w:tcMar>
              <w:top w:w="70" w:type="dxa"/>
              <w:start w:w="80" w:type="dxa"/>
              <w:bottom w:w="70" w:type="dxa"/>
              <w:end w:w="80" w:type="dxa"/>
            </w:tcMar>
            <w:vAlign w:val="center"/>
          </w:tcPr>
          <w:p>
            <w:pPr>
              <w:spacing w:after="0" w:line="240" w:lineRule="auto"/>
              <w:jc w:val="left"/>
            </w:pPr>
            <w:r>
              <w:rPr>
                <w:rFonts w:ascii="Liberation Sans" w:hAnsi="Liberation Sans"/>
                <w:sz w:val="13"/>
              </w:rPr>
              <w:t>ZAL Fuel Cell Lab; specialist fuel-cell test house</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3"/>
              </w:rPr>
              <w:t>0,20-1,20</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3-8</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2-6</w:t>
            </w:r>
          </w:p>
        </w:tc>
      </w:tr>
      <w:tr>
        <w:tc>
          <w:tcPr>
            <w:tcW w:type="dxa" w:w="86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TEST-10</w:t>
            </w:r>
          </w:p>
        </w:tc>
        <w:tc>
          <w:tcPr>
            <w:tcW w:type="dxa" w:w="3168"/>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Nose mast + trolley dynamic capture/release/weather-vane/jam rig</w:t>
            </w:r>
          </w:p>
        </w:tc>
        <w:tc>
          <w:tcPr>
            <w:tcW w:type="dxa" w:w="2520"/>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IABG / Applus+ IMA for structural rig engineering; custom outdoor/ground test site</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0,30-2,50</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6-12</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3-9</w:t>
            </w:r>
          </w:p>
        </w:tc>
      </w:tr>
      <w:tr>
        <w:tc>
          <w:tcPr>
            <w:tcW w:type="dxa" w:w="864"/>
            <w:tcMar>
              <w:top w:w="70" w:type="dxa"/>
              <w:start w:w="80" w:type="dxa"/>
              <w:bottom w:w="70" w:type="dxa"/>
              <w:end w:w="80" w:type="dxa"/>
            </w:tcMar>
            <w:vAlign w:val="center"/>
          </w:tcPr>
          <w:p>
            <w:pPr>
              <w:spacing w:after="0" w:line="240" w:lineRule="auto"/>
              <w:jc w:val="left"/>
            </w:pPr>
            <w:r>
              <w:rPr>
                <w:rFonts w:ascii="Liberation Sans" w:hAnsi="Liberation Sans"/>
                <w:sz w:val="13"/>
              </w:rPr>
              <w:t>TEST-11</w:t>
            </w:r>
          </w:p>
        </w:tc>
        <w:tc>
          <w:tcPr>
            <w:tcW w:type="dxa" w:w="3168"/>
            <w:tcMar>
              <w:top w:w="70" w:type="dxa"/>
              <w:start w:w="80" w:type="dxa"/>
              <w:bottom w:w="70" w:type="dxa"/>
              <w:end w:w="80" w:type="dxa"/>
            </w:tcMar>
            <w:vAlign w:val="center"/>
          </w:tcPr>
          <w:p>
            <w:pPr>
              <w:spacing w:after="0" w:line="240" w:lineRule="auto"/>
              <w:jc w:val="left"/>
            </w:pPr>
            <w:r>
              <w:rPr>
                <w:rFonts w:ascii="Liberation Sans" w:hAnsi="Liberation Sans"/>
                <w:sz w:val="13"/>
              </w:rPr>
              <w:t>Full-scale cabin-zone evacuation/smoke/human-factors mock-up</w:t>
            </w:r>
          </w:p>
        </w:tc>
        <w:tc>
          <w:tcPr>
            <w:tcW w:type="dxa" w:w="2520"/>
            <w:tcMar>
              <w:top w:w="70" w:type="dxa"/>
              <w:start w:w="80" w:type="dxa"/>
              <w:bottom w:w="70" w:type="dxa"/>
              <w:end w:w="80" w:type="dxa"/>
            </w:tcMar>
            <w:vAlign w:val="center"/>
          </w:tcPr>
          <w:p>
            <w:pPr>
              <w:spacing w:after="0" w:line="240" w:lineRule="auto"/>
              <w:jc w:val="left"/>
            </w:pPr>
            <w:r>
              <w:rPr>
                <w:rFonts w:ascii="Liberation Sans" w:hAnsi="Liberation Sans"/>
                <w:sz w:val="13"/>
              </w:rPr>
              <w:t>ZAL Cabin &amp; Cargo Test Rig + human-factors/fire partners</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3"/>
              </w:rPr>
              <w:t>0,25-1,80</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4-10</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2-6</w:t>
            </w:r>
          </w:p>
        </w:tc>
      </w:tr>
      <w:tr>
        <w:tc>
          <w:tcPr>
            <w:tcW w:type="dxa" w:w="864"/>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TEST-12</w:t>
            </w:r>
          </w:p>
        </w:tc>
        <w:tc>
          <w:tcPr>
            <w:tcW w:type="dxa" w:w="3168"/>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Whole-ship structural/systems proof + GVT + leak/electrical/geometry checks</w:t>
            </w:r>
          </w:p>
        </w:tc>
        <w:tc>
          <w:tcPr>
            <w:tcW w:type="dxa" w:w="2520"/>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Custom H350 integration facility; IABG/IMA can support methodology/subsystem rigs</w:t>
            </w:r>
          </w:p>
        </w:tc>
        <w:tc>
          <w:tcPr>
            <w:tcW w:type="dxa" w:w="129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8,00-50,00</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12-24</w:t>
            </w:r>
          </w:p>
        </w:tc>
        <w:tc>
          <w:tcPr>
            <w:tcW w:type="dxa" w:w="936"/>
            <w:tcMar>
              <w:top w:w="70" w:type="dxa"/>
              <w:start w:w="80" w:type="dxa"/>
              <w:bottom w:w="70" w:type="dxa"/>
              <w:end w:w="80" w:type="dxa"/>
            </w:tcMar>
            <w:vAlign w:val="center"/>
            <w:shd w:fill="F7F9FA"/>
          </w:tcPr>
          <w:p>
            <w:pPr>
              <w:spacing w:after="0" w:line="240" w:lineRule="auto"/>
              <w:jc w:val="left"/>
            </w:pPr>
            <w:r>
              <w:rPr>
                <w:rFonts w:ascii="Liberation Sans" w:hAnsi="Liberation Sans"/>
                <w:sz w:val="13"/>
              </w:rPr>
              <w:t>6-18</w:t>
            </w:r>
          </w:p>
        </w:tc>
      </w:tr>
      <w:tr>
        <w:tc>
          <w:tcPr>
            <w:tcW w:type="dxa" w:w="864"/>
            <w:tcMar>
              <w:top w:w="70" w:type="dxa"/>
              <w:start w:w="80" w:type="dxa"/>
              <w:bottom w:w="70" w:type="dxa"/>
              <w:end w:w="80" w:type="dxa"/>
            </w:tcMar>
            <w:vAlign w:val="center"/>
          </w:tcPr>
          <w:p>
            <w:pPr>
              <w:spacing w:after="0" w:line="240" w:lineRule="auto"/>
              <w:jc w:val="left"/>
            </w:pPr>
            <w:r>
              <w:rPr>
                <w:rFonts w:ascii="Liberation Sans" w:hAnsi="Liberation Sans"/>
                <w:sz w:val="13"/>
              </w:rPr>
              <w:t>TEST-13</w:t>
            </w:r>
          </w:p>
        </w:tc>
        <w:tc>
          <w:tcPr>
            <w:tcW w:type="dxa" w:w="3168"/>
            <w:tcMar>
              <w:top w:w="70" w:type="dxa"/>
              <w:start w:w="80" w:type="dxa"/>
              <w:bottom w:w="70" w:type="dxa"/>
              <w:end w:w="80" w:type="dxa"/>
            </w:tcMar>
            <w:vAlign w:val="center"/>
          </w:tcPr>
          <w:p>
            <w:pPr>
              <w:spacing w:after="0" w:line="240" w:lineRule="auto"/>
              <w:jc w:val="left"/>
            </w:pPr>
            <w:r>
              <w:rPr>
                <w:rFonts w:ascii="Liberation Sans" w:hAnsi="Liberation Sans"/>
                <w:sz w:val="13"/>
              </w:rPr>
              <w:t>Envelope-expansion flight-test campaign</w:t>
            </w:r>
          </w:p>
        </w:tc>
        <w:tc>
          <w:tcPr>
            <w:tcW w:type="dxa" w:w="2520"/>
            <w:tcMar>
              <w:top w:w="70" w:type="dxa"/>
              <w:start w:w="80" w:type="dxa"/>
              <w:bottom w:w="70" w:type="dxa"/>
              <w:end w:w="80" w:type="dxa"/>
            </w:tcMar>
            <w:vAlign w:val="center"/>
          </w:tcPr>
          <w:p>
            <w:pPr>
              <w:spacing w:after="0" w:line="240" w:lineRule="auto"/>
              <w:jc w:val="left"/>
            </w:pPr>
            <w:r>
              <w:rPr>
                <w:rFonts w:ascii="Liberation Sans" w:hAnsi="Liberation Sans"/>
                <w:sz w:val="13"/>
              </w:rPr>
              <w:t>Applicant/DOA flight-test organisation + authority-approved test team</w:t>
            </w:r>
          </w:p>
        </w:tc>
        <w:tc>
          <w:tcPr>
            <w:tcW w:type="dxa" w:w="1296"/>
            <w:tcMar>
              <w:top w:w="70" w:type="dxa"/>
              <w:start w:w="80" w:type="dxa"/>
              <w:bottom w:w="70" w:type="dxa"/>
              <w:end w:w="80" w:type="dxa"/>
            </w:tcMar>
            <w:vAlign w:val="center"/>
          </w:tcPr>
          <w:p>
            <w:pPr>
              <w:spacing w:after="0" w:line="240" w:lineRule="auto"/>
              <w:jc w:val="left"/>
            </w:pPr>
            <w:r>
              <w:rPr>
                <w:rFonts w:ascii="Liberation Sans" w:hAnsi="Liberation Sans"/>
                <w:sz w:val="13"/>
              </w:rPr>
              <w:t>12,00-80,00</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12-24</w:t>
            </w:r>
          </w:p>
        </w:tc>
        <w:tc>
          <w:tcPr>
            <w:tcW w:type="dxa" w:w="936"/>
            <w:tcMar>
              <w:top w:w="70" w:type="dxa"/>
              <w:start w:w="80" w:type="dxa"/>
              <w:bottom w:w="70" w:type="dxa"/>
              <w:end w:w="80" w:type="dxa"/>
            </w:tcMar>
            <w:vAlign w:val="center"/>
          </w:tcPr>
          <w:p>
            <w:pPr>
              <w:spacing w:after="0" w:line="240" w:lineRule="auto"/>
              <w:jc w:val="left"/>
            </w:pPr>
            <w:r>
              <w:rPr>
                <w:rFonts w:ascii="Liberation Sans" w:hAnsi="Liberation Sans"/>
                <w:sz w:val="13"/>
              </w:rPr>
              <w:t>18-36</w:t>
            </w:r>
          </w:p>
        </w:tc>
      </w:tr>
    </w:tbl>
    <w:p>
      <w:pPr>
        <w:spacing w:after="40"/>
        <w:widowControl/>
      </w:pPr>
    </w:p>
    <w:p>
      <w:pPr>
        <w:spacing w:after="140" w:line="259" w:lineRule="auto"/>
        <w:widowControl/>
      </w:pPr>
      <w:r>
        <w:rPr>
          <w:rFonts w:ascii="Liberation Serif" w:hAnsi="Liberation Serif"/>
        </w:rPr>
        <w:t>Kostenbasis: unabhängige H350-Planungs-ROM-Schätzung in 2026-EUR. Die öffentlichen Seiten der genannten Einrichtungen veröffentlichen für kundenspezifische Luftfahrt-/H2-/Batterieprüfungen typischerweise keine H350-spezifischen Preise. Alle Werte sind daher Angebotsvorbereitung, nicht Angebotsersatz. Besonders LH2-, Ground-System-, Whole-Ship- und Flight-Test-Kosten reagieren stark auf Prüfartikel, Sicherheitsabstände, Facility-Modifikationen und Wiederholungen.</w:t>
      </w:r>
    </w:p>
    <w:p>
      <w:pPr>
        <w:pStyle w:val="Heading2"/>
        <w:keepNext/>
        <w:widowControl/>
      </w:pPr>
      <w:r>
        <w:rPr>
          <w:rFonts w:ascii="Liberation Serif" w:hAnsi="Liberation Serif"/>
        </w:rPr>
        <w:t>6.5 Detailbeschreibung der 13 Teststufen</w:t>
      </w:r>
    </w:p>
    <w:p>
      <w:pPr>
        <w:pStyle w:val="Heading3"/>
        <w:keepNext/>
        <w:widowControl/>
      </w:pPr>
      <w:r>
        <w:rPr>
          <w:rFonts w:ascii="Liberation Serif" w:hAnsi="Liberation Serif"/>
        </w:rPr>
        <w:t>TEST-01 - CFRP Material Allowables</w:t>
      </w:r>
    </w:p>
    <w:p>
      <w:pPr>
        <w:spacing w:after="140" w:line="259" w:lineRule="auto"/>
        <w:widowControl/>
      </w:pPr>
      <w:r>
        <w:rPr>
          <w:rFonts w:ascii="Liberation Serif" w:hAnsi="Liberation Serif"/>
        </w:rPr>
        <w:t>Ziel: aus dem heutigen Projekt-Allowable einen material-/prozessspezifischen statistischen Datensatz machen. Benötigt werden Zug, Druck, Schub, ILSS, CAI/Impact, fracture toughness, Hot/Wet, Low-Temperature und Ermüdung über relevante Faserwinkel/Lots. Ohne ausgewähltes Prepreg, Cure Cycle und QA-Prozess ist der Test zu früh. Ergebnis: Design allowables, Environmental Knockdowns, S-N-Kurven und Eingangsdaten für FEA-01/03/04/05/06/07/08/10. Geeignet: Applus+ IMA Dresden oder IABG. ROM: 0,18-0,70 Mio. EUR.</w:t>
      </w:r>
    </w:p>
    <w:p>
      <w:pPr>
        <w:pStyle w:val="Heading3"/>
        <w:keepNext/>
        <w:widowControl/>
      </w:pPr>
      <w:r>
        <w:rPr>
          <w:rFonts w:ascii="Liberation Serif" w:hAnsi="Liberation Serif"/>
        </w:rPr>
        <w:t>TEST-02 - Bonded/Bolted Joint Elements</w:t>
      </w:r>
    </w:p>
    <w:p>
      <w:pPr>
        <w:spacing w:after="140" w:line="259" w:lineRule="auto"/>
        <w:widowControl/>
      </w:pPr>
      <w:r>
        <w:rPr>
          <w:rFonts w:ascii="Liberation Serif" w:hAnsi="Liberation Serif"/>
        </w:rPr>
        <w:t>Ziel: Bearing, Net-Tension, Shear-Out, Bondline, Defect Sensitivity und Fatigue der konkreten Hardpoint-/Splice-Familie. Variablen: Pin-/Bolt-Durchmesser, Edge Distance, Adhesive, Surface Prep, Bondline Thickness, Cure, Galvanic Isolation, Impact/Voids. Ergebnis: lokale Allowables und Failure Modes für TA-01 und Flugstruktur. ROM: 0,12-0,50 Mio. EUR.</w:t>
      </w:r>
    </w:p>
    <w:p>
      <w:pPr>
        <w:pStyle w:val="Heading3"/>
        <w:keepNext/>
        <w:widowControl/>
      </w:pPr>
      <w:r>
        <w:rPr>
          <w:rFonts w:ascii="Liberation Serif" w:hAnsi="Liberation Serif"/>
        </w:rPr>
        <w:t>TEST-03 - TA-01 Ring-Longeron Node</w:t>
      </w:r>
    </w:p>
    <w:p>
      <w:pPr>
        <w:spacing w:after="140" w:line="259" w:lineRule="auto"/>
        <w:widowControl/>
      </w:pPr>
      <w:r>
        <w:rPr>
          <w:rFonts w:ascii="Liberation Serif" w:hAnsi="Liberation Serif"/>
        </w:rPr>
        <w:t>v1.2 ist bereits Manufacturing-Definition-Ready. Vor Testbeginn müssen Materialsystem, Adhesive/Process, detailliertes nonlinear Contact/Bond-FEA und Labor-Freigabe geschlossen sein. Der Artikel wird axial, radial und lateral mehrphasig belastet; DIC, Strain Gauges, Load Cells und NDI korrelieren die Modellsteifigkeit. Ergebnis: Knotenstärke, Buckling/Damage und FE-Correlation. ROM: 0,20-0,90 Mio. EUR.</w:t>
      </w:r>
    </w:p>
    <w:p>
      <w:pPr>
        <w:pStyle w:val="Heading3"/>
        <w:keepNext/>
        <w:widowControl/>
      </w:pPr>
      <w:r>
        <w:rPr>
          <w:rFonts w:ascii="Liberation Serif" w:hAnsi="Liberation Serif"/>
        </w:rPr>
        <w:t>TEST-04 - Module Hardpoint Rig</w:t>
      </w:r>
    </w:p>
    <w:p>
      <w:pPr>
        <w:spacing w:after="140" w:line="259" w:lineRule="auto"/>
        <w:widowControl/>
      </w:pPr>
      <w:r>
        <w:rPr>
          <w:rFonts w:ascii="Liberation Serif" w:hAnsi="Liberation Serif"/>
        </w:rPr>
        <w:t>Validiert den gemeinsamen Vierpunkt-Loadpath von Kabinen-, Batterie- und PEMFC-Modulen inklusive Pin/Lug/Bearing/Bond. Wichtig sind kombinierte Lasten, Misalignment und wiederholte Lastwechsel. ROM: 0,12-0,55 Mio. EUR.</w:t>
      </w:r>
    </w:p>
    <w:p>
      <w:pPr>
        <w:pStyle w:val="Heading3"/>
        <w:keepNext/>
        <w:widowControl/>
      </w:pPr>
      <w:r>
        <w:rPr>
          <w:rFonts w:ascii="Liberation Serif" w:hAnsi="Liberation Serif"/>
        </w:rPr>
        <w:t>TEST-05 - 250-kWh Battery Compartment</w:t>
      </w:r>
    </w:p>
    <w:p>
      <w:pPr>
        <w:spacing w:after="140" w:line="259" w:lineRule="auto"/>
        <w:widowControl/>
      </w:pPr>
      <w:r>
        <w:rPr>
          <w:rFonts w:ascii="Liberation Serif" w:hAnsi="Liberation Serif"/>
        </w:rPr>
        <w:t>Abuse-/Propagation-Test eines repräsentativen LFP-Subpacks oder geeigneten repräsentativen Moduls innerhalb der echten Containment-/Vent-Geometrie. Zu messen: Trigger, cell-to-cell/module-to-module propagation, Druck, Temperatur, Ventgas, Flammenaustritt, HF/CO/CO2 soweit Testplan verlangt, Isolation und Nachbrand. Mögliche Einrichtungen: DEKRA Klettwitz, BAM TTS. ROM: 0,15-0,80 Mio. EUR.</w:t>
      </w:r>
    </w:p>
    <w:p>
      <w:pPr>
        <w:pStyle w:val="Heading3"/>
        <w:keepNext/>
        <w:widowControl/>
      </w:pPr>
      <w:r>
        <w:rPr>
          <w:rFonts w:ascii="Liberation Serif" w:hAnsi="Liberation Serif"/>
        </w:rPr>
        <w:t>TEST-06 - 1.500-V Dual-Bus HIL / PD</w:t>
      </w:r>
    </w:p>
    <w:p>
      <w:pPr>
        <w:spacing w:after="140" w:line="259" w:lineRule="auto"/>
        <w:widowControl/>
      </w:pPr>
      <w:r>
        <w:rPr>
          <w:rFonts w:ascii="Liberation Serif" w:hAnsi="Liberation Serif"/>
        </w:rPr>
        <w:t>Validiert Fault Detection, Sectionalizing, 3-ms-Zielkette, Contactor/Pyrofuse-Verhalten, Bus-Reconfiguration, BMS/EMS-Interaktion und Insulation Coordination/Partial Discharge unter repräsentativem Druck, Temperatur und Kontamination. Komponenten müssen real ausgewählt sein; sonst testet man nur eine Simulation. ROM: 0,12-0,65 Mio. EUR.</w:t>
      </w:r>
    </w:p>
    <w:p>
      <w:pPr>
        <w:pStyle w:val="Heading3"/>
        <w:keepNext/>
        <w:widowControl/>
      </w:pPr>
      <w:r>
        <w:rPr>
          <w:rFonts w:ascii="Liberation Serif" w:hAnsi="Liberation Serif"/>
        </w:rPr>
        <w:t>TEST-07 - LH2 Cold-Flow / Relief</w:t>
      </w:r>
    </w:p>
    <w:p>
      <w:pPr>
        <w:spacing w:after="140" w:line="259" w:lineRule="auto"/>
        <w:widowControl/>
      </w:pPr>
      <w:r>
        <w:rPr>
          <w:rFonts w:ascii="Liberation Serif" w:hAnsi="Liberation Serif"/>
        </w:rPr>
        <w:t>Realer Test für Normal BOG, Fill/Drain/Chill-down, Vent-/Relief-Transiente, Druckaufbau, Valve Dynamics und - soweit sicher/zulässig - Fire-Case-relevante Boundaries. BAM TTS plant ein LH2-Prüffeld; TÜV SÜD ist stark bei H2-Komponenten, die finale Facility muss aber die kryogene Systemgröße abdecken. ROM: 0,30-2,00 Mio. EUR.</w:t>
      </w:r>
    </w:p>
    <w:p>
      <w:pPr>
        <w:pStyle w:val="Heading3"/>
        <w:keepNext/>
        <w:widowControl/>
      </w:pPr>
      <w:r>
        <w:rPr>
          <w:rFonts w:ascii="Liberation Serif" w:hAnsi="Liberation Serif"/>
        </w:rPr>
        <w:t>TEST-08 - H2 Leak/Detection/Ventilation</w:t>
      </w:r>
    </w:p>
    <w:p>
      <w:pPr>
        <w:spacing w:after="140" w:line="259" w:lineRule="auto"/>
        <w:widowControl/>
      </w:pPr>
      <w:r>
        <w:rPr>
          <w:rFonts w:ascii="Liberation Serif" w:hAnsi="Liberation Serif"/>
        </w:rPr>
        <w:t>Kontrollierte Releases in repräsentativer Geometrie zur Kalibrierung von CFD-11, Sensorpositionierung, Alarmzeiten und Ventilation. Wichtig: low-flow persistence, large transient release, dead zones, buoyant roof pockets und crossflow. BAM TTS/TÜV SÜD sind Kandidaten. ROM: 0,15-1,00 Mio. EUR.</w:t>
      </w:r>
    </w:p>
    <w:p>
      <w:pPr>
        <w:pStyle w:val="Heading3"/>
        <w:keepNext/>
        <w:widowControl/>
      </w:pPr>
      <w:r>
        <w:rPr>
          <w:rFonts w:ascii="Liberation Serif" w:hAnsi="Liberation Serif"/>
        </w:rPr>
        <w:t>TEST-09 - PEMFC + Radiator Thermal Rig</w:t>
      </w:r>
    </w:p>
    <w:p>
      <w:pPr>
        <w:spacing w:after="140" w:line="259" w:lineRule="auto"/>
        <w:widowControl/>
      </w:pPr>
      <w:r>
        <w:rPr>
          <w:rFonts w:ascii="Liberation Serif" w:hAnsi="Liberation Serif"/>
        </w:rPr>
        <w:t>Herstellerhardware in einem Systemrig: Polarization/Efficiency Maps, Heat Rejection, Pump/Fan Power, Cold/Hot Starts, N+1, Derate, Load Steps, H2 supply transients. ZAL Fuel Cell Lab ist ein geeigneter Gesprächspartner. ROM: 0,20-1,20 Mio. EUR exklusive PEMFC-Hardware.</w:t>
      </w:r>
    </w:p>
    <w:p>
      <w:pPr>
        <w:pStyle w:val="Heading3"/>
        <w:keepNext/>
        <w:widowControl/>
      </w:pPr>
      <w:r>
        <w:rPr>
          <w:rFonts w:ascii="Liberation Serif" w:hAnsi="Liberation Serif"/>
        </w:rPr>
        <w:t>TEST-10 - Mooring Nose + Trolley Dynamic Rig</w:t>
      </w:r>
    </w:p>
    <w:p>
      <w:pPr>
        <w:spacing w:after="140" w:line="259" w:lineRule="auto"/>
        <w:widowControl/>
      </w:pPr>
      <w:r>
        <w:rPr>
          <w:rFonts w:ascii="Liberation Serif" w:hAnsi="Liberation Serif"/>
        </w:rPr>
        <w:t>Die größte Ground-System-Unbekannte. Ein instrumentierter Mast-/Nose-/Trolley-Rig muss Capture, Release, Weather-Vane, Friction, Trolley Steering, Jam, Sensor/Actuator Failure und Emergency Release mit realistischen Lastprofilen prüfen. Struktur-Testengineering z. B. IABG/IMA; der Aufbau selbst wird wahrscheinlich custom. ROM: 0,30-2,50 Mio. EUR.</w:t>
      </w:r>
    </w:p>
    <w:p>
      <w:pPr>
        <w:pStyle w:val="Heading3"/>
        <w:keepNext/>
        <w:widowControl/>
      </w:pPr>
      <w:r>
        <w:rPr>
          <w:rFonts w:ascii="Liberation Serif" w:hAnsi="Liberation Serif"/>
        </w:rPr>
        <w:t>TEST-11 - Evacuation/Smoke Human Factors</w:t>
      </w:r>
    </w:p>
    <w:p>
      <w:pPr>
        <w:spacing w:after="140" w:line="259" w:lineRule="auto"/>
        <w:widowControl/>
      </w:pPr>
      <w:r>
        <w:rPr>
          <w:rFonts w:ascii="Liberation Serif" w:hAnsi="Liberation Serif"/>
        </w:rPr>
        <w:t>Full-scale Zonenmock-up mit 120-Personen-Szenarien, blockierten Portalen/Kernen, Sichtbehinderung und repräsentativer Geometrie. ZAL CCTR bietet räumlich passende Kabinen-/Cargo-Infrastruktur für größere Mock-ups; Fire/Smoke und Human Factors erfordern zusätzliche Spezialpartner. ROM: 0,25-1,80 Mio. EUR.</w:t>
      </w:r>
    </w:p>
    <w:p>
      <w:pPr>
        <w:pStyle w:val="Heading3"/>
        <w:keepNext/>
        <w:widowControl/>
      </w:pPr>
      <w:r>
        <w:rPr>
          <w:rFonts w:ascii="Liberation Serif" w:hAnsi="Liberation Serif"/>
        </w:rPr>
        <w:t>TEST-12 - Whole-Ship Ground Proof</w:t>
      </w:r>
    </w:p>
    <w:p>
      <w:pPr>
        <w:spacing w:after="140" w:line="259" w:lineRule="auto"/>
        <w:widowControl/>
      </w:pPr>
      <w:r>
        <w:rPr>
          <w:rFonts w:ascii="Liberation Serif" w:hAnsi="Liberation Serif"/>
        </w:rPr>
        <w:t>Erst nach geschlossener Subsystemevidenz. Umfasst distributed structural proof, Geometry Survey, Leak checks, HV/Electrical, Controls, GVT/Modal, propulsion ground runs, H2/LH2 system checks und Emergency Functions. Für 350 m ist ein eigener Integrationsort praktisch Teil des Programms. ROM der Ground-Testkampagne 8-50 Mio. EUR; der Flugprototyp und Facility-CAPEX sind ausdrücklich nicht enthalten.</w:t>
      </w:r>
    </w:p>
    <w:p>
      <w:pPr>
        <w:pStyle w:val="Heading3"/>
        <w:keepNext/>
        <w:widowControl/>
      </w:pPr>
      <w:r>
        <w:rPr>
          <w:rFonts w:ascii="Liberation Serif" w:hAnsi="Liberation Serif"/>
        </w:rPr>
        <w:t>TEST-13 - Flight Envelope Expansion</w:t>
      </w:r>
    </w:p>
    <w:p>
      <w:pPr>
        <w:spacing w:after="140" w:line="259" w:lineRule="auto"/>
        <w:widowControl/>
      </w:pPr>
      <w:r>
        <w:rPr>
          <w:rFonts w:ascii="Liberation Serif" w:hAnsi="Liberation Serif"/>
        </w:rPr>
        <w:t>Schrittweiser Flight-Test von Low-Speed Handling über Normal- und Failure-Cases bis Gust, Propulsor-Out, Thermal/Power/H2 Behavior und finaler Betriebsenvelope. Benötigt Flight Permit, Testpiloten/Test Engineers, Telemetrie, Ground Safety, Emergency Response und authority-agreed buildup. ROM 12-80 Mio. EUR exklusive Prototypbau und großer Redesigns.</w:t>
      </w:r>
    </w:p>
    <w:p>
      <w:pPr>
        <w:pStyle w:val="Heading2"/>
        <w:keepNext/>
        <w:widowControl/>
      </w:pPr>
      <w:r>
        <w:rPr>
          <w:rFonts w:ascii="Liberation Serif" w:hAnsi="Liberation Serif"/>
        </w:rPr>
        <w:t>6.6 ROM-Kostenübersicht und Interpretation</w:t>
      </w:r>
    </w:p>
    <w:p>
      <w:pPr>
        <w:jc w:val="center"/>
        <w:widowControl/>
      </w:pPr>
      <w:r>
        <w:rPr>
          <w:rFonts w:ascii="Liberation Serif" w:hAnsi="Liberation Serif"/>
        </w:rPr>
        <w:drawing>
          <wp:inline xmlns:a="http://schemas.openxmlformats.org/drawingml/2006/main" xmlns:pic="http://schemas.openxmlformats.org/drawingml/2006/picture">
            <wp:extent cx="5623560" cy="3551722"/>
            <wp:docPr id="5" name="Picture 5"/>
            <wp:cNvGraphicFramePr>
              <a:graphicFrameLocks noChangeAspect="1"/>
            </wp:cNvGraphicFramePr>
            <a:graphic>
              <a:graphicData uri="http://schemas.openxmlformats.org/drawingml/2006/picture">
                <pic:pic>
                  <pic:nvPicPr>
                    <pic:cNvPr id="0" name="verification_cost_rom.png"/>
                    <pic:cNvPicPr/>
                  </pic:nvPicPr>
                  <pic:blipFill>
                    <a:blip r:embed="rId15"/>
                    <a:stretch>
                      <a:fillRect/>
                    </a:stretch>
                  </pic:blipFill>
                  <pic:spPr>
                    <a:xfrm>
                      <a:off x="0" y="0"/>
                      <a:ext cx="5623560" cy="3551722"/>
                    </a:xfrm>
                    <a:prstGeom prst="rect"/>
                  </pic:spPr>
                </pic:pic>
              </a:graphicData>
            </a:graphic>
          </wp:inline>
        </w:drawing>
      </w:r>
    </w:p>
    <w:p>
      <w:pPr>
        <w:spacing w:after="120"/>
        <w:jc w:val="center"/>
        <w:widowControl/>
      </w:pPr>
      <w:r>
        <w:rPr>
          <w:rFonts w:ascii="Liberation Serif" w:hAnsi="Liberation Serif"/>
          <w:b/>
          <w:color w:val="505050"/>
          <w:sz w:val="18"/>
        </w:rPr>
        <w:t>Abbildung 5: Unabhängige 2026-Planungs-ROM-Kosten nach Phase. Error Bars zeigen Low/High; nicht als Anbieterangebot oder vollständiges Programmbudget interpretieren.</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2160"/>
            <w:shd w:fill="DCE6ED"/>
            <w:tcMar>
              <w:top w:w="90" w:type="dxa"/>
              <w:start w:w="90" w:type="dxa"/>
              <w:bottom w:w="90" w:type="dxa"/>
              <w:end w:w="90" w:type="dxa"/>
            </w:tcMar>
            <w:vAlign w:val="center"/>
          </w:tcPr>
          <w:p>
            <w:pPr>
              <w:jc w:val="center"/>
            </w:pPr>
            <w:r>
              <w:rPr>
                <w:rFonts w:ascii="Liberation Sans" w:hAnsi="Liberation Sans"/>
                <w:b/>
                <w:sz w:val="16"/>
              </w:rPr>
              <w:t>Phase</w:t>
            </w:r>
          </w:p>
        </w:tc>
        <w:tc>
          <w:tcPr>
            <w:tcW w:type="dxa" w:w="1944"/>
            <w:shd w:fill="DCE6ED"/>
            <w:tcMar>
              <w:top w:w="90" w:type="dxa"/>
              <w:start w:w="90" w:type="dxa"/>
              <w:bottom w:w="90" w:type="dxa"/>
              <w:end w:w="90" w:type="dxa"/>
            </w:tcMar>
            <w:vAlign w:val="center"/>
          </w:tcPr>
          <w:p>
            <w:pPr>
              <w:jc w:val="center"/>
            </w:pPr>
            <w:r>
              <w:rPr>
                <w:rFonts w:ascii="Liberation Sans" w:hAnsi="Liberation Sans"/>
                <w:b/>
                <w:sz w:val="16"/>
              </w:rPr>
              <w:t>Low [Mio. EUR]</w:t>
            </w:r>
          </w:p>
        </w:tc>
        <w:tc>
          <w:tcPr>
            <w:tcW w:type="dxa" w:w="1728"/>
            <w:shd w:fill="DCE6ED"/>
            <w:tcMar>
              <w:top w:w="90" w:type="dxa"/>
              <w:start w:w="90" w:type="dxa"/>
              <w:bottom w:w="90" w:type="dxa"/>
              <w:end w:w="90" w:type="dxa"/>
            </w:tcMar>
            <w:vAlign w:val="center"/>
          </w:tcPr>
          <w:p>
            <w:pPr>
              <w:jc w:val="center"/>
            </w:pPr>
            <w:r>
              <w:rPr>
                <w:rFonts w:ascii="Liberation Sans" w:hAnsi="Liberation Sans"/>
                <w:b/>
                <w:sz w:val="16"/>
              </w:rPr>
              <w:t>Base</w:t>
            </w:r>
          </w:p>
        </w:tc>
        <w:tc>
          <w:tcPr>
            <w:tcW w:type="dxa" w:w="1728"/>
            <w:shd w:fill="DCE6ED"/>
            <w:tcMar>
              <w:top w:w="90" w:type="dxa"/>
              <w:start w:w="90" w:type="dxa"/>
              <w:bottom w:w="90" w:type="dxa"/>
              <w:end w:w="90" w:type="dxa"/>
            </w:tcMar>
            <w:vAlign w:val="center"/>
          </w:tcPr>
          <w:p>
            <w:pPr>
              <w:jc w:val="center"/>
            </w:pPr>
            <w:r>
              <w:rPr>
                <w:rFonts w:ascii="Liberation Sans" w:hAnsi="Liberation Sans"/>
                <w:b/>
                <w:sz w:val="16"/>
              </w:rPr>
              <w:t>High</w:t>
            </w:r>
          </w:p>
        </w:tc>
      </w:tr>
      <w:tr>
        <w:tc>
          <w:tcPr>
            <w:tcW w:type="dxa" w:w="2160"/>
            <w:tcMar>
              <w:top w:w="70" w:type="dxa"/>
              <w:start w:w="80" w:type="dxa"/>
              <w:bottom w:w="70" w:type="dxa"/>
              <w:end w:w="80" w:type="dxa"/>
            </w:tcMar>
            <w:vAlign w:val="center"/>
          </w:tcPr>
          <w:p>
            <w:pPr>
              <w:spacing w:after="0" w:line="240" w:lineRule="auto"/>
              <w:jc w:val="left"/>
            </w:pPr>
            <w:r>
              <w:rPr>
                <w:rFonts w:ascii="Liberation Sans" w:hAnsi="Liberation Sans"/>
                <w:sz w:val="16"/>
              </w:rPr>
              <w:t>A</w:t>
            </w:r>
          </w:p>
        </w:tc>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6"/>
              </w:rPr>
              <w:t>0,95</w:t>
            </w:r>
          </w:p>
        </w:tc>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2,35</w:t>
            </w:r>
          </w:p>
        </w:tc>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5,40</w:t>
            </w:r>
          </w:p>
        </w:tc>
      </w:tr>
      <w:tr>
        <w:tc>
          <w:tcPr>
            <w:tcW w:type="dxa" w:w="216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B</w:t>
            </w:r>
          </w:p>
        </w:tc>
        <w:tc>
          <w:tcPr>
            <w:tcW w:type="dxa" w:w="194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1,54</w:t>
            </w:r>
          </w:p>
        </w:tc>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3,63</w:t>
            </w:r>
          </w:p>
        </w:tc>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8,30</w:t>
            </w:r>
          </w:p>
        </w:tc>
      </w:tr>
      <w:tr>
        <w:tc>
          <w:tcPr>
            <w:tcW w:type="dxa" w:w="2160"/>
            <w:tcMar>
              <w:top w:w="70" w:type="dxa"/>
              <w:start w:w="80" w:type="dxa"/>
              <w:bottom w:w="70" w:type="dxa"/>
              <w:end w:w="80" w:type="dxa"/>
            </w:tcMar>
            <w:vAlign w:val="center"/>
          </w:tcPr>
          <w:p>
            <w:pPr>
              <w:spacing w:after="0" w:line="240" w:lineRule="auto"/>
              <w:jc w:val="left"/>
            </w:pPr>
            <w:r>
              <w:rPr>
                <w:rFonts w:ascii="Liberation Sans" w:hAnsi="Liberation Sans"/>
                <w:sz w:val="16"/>
              </w:rPr>
              <w:t>C</w:t>
            </w:r>
          </w:p>
        </w:tc>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6"/>
              </w:rPr>
              <w:t>0,70</w:t>
            </w:r>
          </w:p>
        </w:tc>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2,05</w:t>
            </w:r>
          </w:p>
        </w:tc>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5,50</w:t>
            </w:r>
          </w:p>
        </w:tc>
      </w:tr>
      <w:tr>
        <w:tc>
          <w:tcPr>
            <w:tcW w:type="dxa" w:w="2160"/>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C/D</w:t>
            </w:r>
          </w:p>
        </w:tc>
        <w:tc>
          <w:tcPr>
            <w:tcW w:type="dxa" w:w="1944"/>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2,00</w:t>
            </w:r>
          </w:p>
        </w:tc>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6,00</w:t>
            </w:r>
          </w:p>
        </w:tc>
        <w:tc>
          <w:tcPr>
            <w:tcW w:type="dxa" w:w="1728"/>
            <w:tcMar>
              <w:top w:w="70" w:type="dxa"/>
              <w:start w:w="80" w:type="dxa"/>
              <w:bottom w:w="70" w:type="dxa"/>
              <w:end w:w="80" w:type="dxa"/>
            </w:tcMar>
            <w:vAlign w:val="center"/>
            <w:shd w:fill="F7F9FA"/>
          </w:tcPr>
          <w:p>
            <w:pPr>
              <w:spacing w:after="0" w:line="240" w:lineRule="auto"/>
              <w:jc w:val="left"/>
            </w:pPr>
            <w:r>
              <w:rPr>
                <w:rFonts w:ascii="Liberation Sans" w:hAnsi="Liberation Sans"/>
                <w:sz w:val="16"/>
              </w:rPr>
              <w:t>15,00</w:t>
            </w:r>
          </w:p>
        </w:tc>
      </w:tr>
      <w:tr>
        <w:tc>
          <w:tcPr>
            <w:tcW w:type="dxa" w:w="2160"/>
            <w:tcMar>
              <w:top w:w="70" w:type="dxa"/>
              <w:start w:w="80" w:type="dxa"/>
              <w:bottom w:w="70" w:type="dxa"/>
              <w:end w:w="80" w:type="dxa"/>
            </w:tcMar>
            <w:vAlign w:val="center"/>
          </w:tcPr>
          <w:p>
            <w:pPr>
              <w:spacing w:after="0" w:line="240" w:lineRule="auto"/>
              <w:jc w:val="left"/>
            </w:pPr>
            <w:r>
              <w:rPr>
                <w:rFonts w:ascii="Liberation Sans" w:hAnsi="Liberation Sans"/>
                <w:sz w:val="16"/>
              </w:rPr>
              <w:t>D</w:t>
            </w:r>
          </w:p>
        </w:tc>
        <w:tc>
          <w:tcPr>
            <w:tcW w:type="dxa" w:w="1944"/>
            <w:tcMar>
              <w:top w:w="70" w:type="dxa"/>
              <w:start w:w="80" w:type="dxa"/>
              <w:bottom w:w="70" w:type="dxa"/>
              <w:end w:w="80" w:type="dxa"/>
            </w:tcMar>
            <w:vAlign w:val="center"/>
          </w:tcPr>
          <w:p>
            <w:pPr>
              <w:spacing w:after="0" w:line="240" w:lineRule="auto"/>
              <w:jc w:val="left"/>
            </w:pPr>
            <w:r>
              <w:rPr>
                <w:rFonts w:ascii="Liberation Sans" w:hAnsi="Liberation Sans"/>
                <w:sz w:val="16"/>
              </w:rPr>
              <w:t>20,00</w:t>
            </w:r>
          </w:p>
        </w:tc>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50,00</w:t>
            </w:r>
          </w:p>
        </w:tc>
        <w:tc>
          <w:tcPr>
            <w:tcW w:type="dxa" w:w="1728"/>
            <w:tcMar>
              <w:top w:w="70" w:type="dxa"/>
              <w:start w:w="80" w:type="dxa"/>
              <w:bottom w:w="70" w:type="dxa"/>
              <w:end w:w="80" w:type="dxa"/>
            </w:tcMar>
            <w:vAlign w:val="center"/>
          </w:tcPr>
          <w:p>
            <w:pPr>
              <w:spacing w:after="0" w:line="240" w:lineRule="auto"/>
              <w:jc w:val="left"/>
            </w:pPr>
            <w:r>
              <w:rPr>
                <w:rFonts w:ascii="Liberation Sans" w:hAnsi="Liberation Sans"/>
                <w:sz w:val="16"/>
              </w:rPr>
              <w:t>130,00</w:t>
            </w:r>
          </w:p>
        </w:tc>
      </w:tr>
    </w:tbl>
    <w:p>
      <w:pPr>
        <w:spacing w:after="40"/>
        <w:widowControl/>
      </w:pPr>
    </w:p>
    <w:p>
      <w:pPr>
        <w:spacing w:after="140" w:line="259" w:lineRule="auto"/>
        <w:widowControl/>
      </w:pPr>
      <w:r>
        <w:rPr>
          <w:rFonts w:ascii="Liberation Serif" w:hAnsi="Liberation Serif"/>
        </w:rPr>
        <w:t>Die arithmetische Summe aller Zeilen beträgt 25,19 / 64,03 / 164,20 Mio. EUR (Low/Base/High). Diese Zahl darf nicht als "Preis des Luftschiffs" gelesen werden. Sie enthält Alternativen und potenzielle Überschneidungen, während gleichzeitig zentrale Großkosten fehlen: Flugprototyp, Serienwerkzeuge, neue Integrationshalle, Fertigungspersonal, Ersatzprüfartikel, Zulassungsbedingte Wiederholungen, Infrastruktur am Flugteststandort und Designänderungen nach Fehlversuchen. Für ein echtes Programm muss daraus nach RFQ ein Work-Breakdown-Budget mit Contingency werden.</w:t>
      </w:r>
    </w:p>
    <w:p>
      <w:pPr>
        <w:pStyle w:val="Heading2"/>
        <w:keepNext/>
        <w:widowControl/>
      </w:pPr>
      <w:r>
        <w:rPr>
          <w:rFonts w:ascii="Liberation Serif" w:hAnsi="Liberation Serif"/>
        </w:rPr>
        <w:t>6.7 Was eine RFQ an ein Prüflabor enthalten muss</w:t>
      </w:r>
    </w:p>
    <w:p>
      <w:pPr>
        <w:pStyle w:val="ListBullet"/>
        <w:widowControl/>
      </w:pPr>
      <w:r>
        <w:rPr>
          <w:rFonts w:ascii="Liberation Serif" w:hAnsi="Liberation Serif"/>
        </w:rPr>
        <w:t>Eindeutige Artikeldefinition: Zeichnung/STEP, Masse, Schwerpunkt, Gefahrstoffe, Flight-like vs test-only hardware.</w:t>
      </w:r>
    </w:p>
    <w:p>
      <w:pPr>
        <w:pStyle w:val="ListBullet"/>
        <w:widowControl/>
      </w:pPr>
      <w:r>
        <w:rPr>
          <w:rFonts w:ascii="Liberation Serif" w:hAnsi="Liberation Serif"/>
        </w:rPr>
        <w:t>Last-/Umwelt-Envelopes mit Limit/Ultimate/Transient, Rate, Zyklen, Temperatur, Feuchte, Druckhöhe und Kombinationen.</w:t>
      </w:r>
    </w:p>
    <w:p>
      <w:pPr>
        <w:pStyle w:val="ListBullet"/>
        <w:widowControl/>
      </w:pPr>
      <w:r>
        <w:rPr>
          <w:rFonts w:ascii="Liberation Serif" w:hAnsi="Liberation Serif"/>
        </w:rPr>
        <w:t>Instrumentation/DAQ: Kanalzahl, Sample Rate, Accuracy, DIC/high-speed video, Gas-/Temperatur-/Druckmessung, Trigger und Synchronisation.</w:t>
      </w:r>
    </w:p>
    <w:p>
      <w:pPr>
        <w:pStyle w:val="ListBullet"/>
        <w:widowControl/>
      </w:pPr>
      <w:r>
        <w:rPr>
          <w:rFonts w:ascii="Liberation Serif" w:hAnsi="Liberation Serif"/>
        </w:rPr>
        <w:t>Acceptance Criteria und Stop Criteria: was gilt als bestanden, wann wird ein Test aus Sicherheits- oder Schadensgründen abgebrochen.</w:t>
      </w:r>
    </w:p>
    <w:p>
      <w:pPr>
        <w:pStyle w:val="ListBullet"/>
        <w:widowControl/>
      </w:pPr>
      <w:r>
        <w:rPr>
          <w:rFonts w:ascii="Liberation Serif" w:hAnsi="Liberation Serif"/>
        </w:rPr>
        <w:t>Facility Interfaces: Strong Floor, Hydraulik, H2/LH2, Abgas-/Ventgasbehandlung, elektrische Anschlussleistung, Sicherheitsabstände, Kran, Transport.</w:t>
      </w:r>
    </w:p>
    <w:p>
      <w:pPr>
        <w:pStyle w:val="ListBullet"/>
        <w:widowControl/>
      </w:pPr>
      <w:r>
        <w:rPr>
          <w:rFonts w:ascii="Liberation Serif" w:hAnsi="Liberation Serif"/>
        </w:rPr>
        <w:t>Daten-/Konfigurationsanforderungen: Kalibrierzertifikate, Rohdatenformat, Testfotos/-video, NDI, Post-Test-Teardown, Traceability zu Requirement/Load Case.</w:t>
      </w:r>
    </w:p>
    <w:p>
      <w:pPr>
        <w:pStyle w:val="ListBullet"/>
        <w:widowControl/>
      </w:pPr>
      <w:r>
        <w:rPr>
          <w:rFonts w:ascii="Liberation Serif" w:hAnsi="Liberation Serif"/>
        </w:rPr>
        <w:t>Zulassungsrolle: Development Test, Qualification Test oder Certification Test; Witnessing durch DOA/Authority; ISO-17025-Scope soweit erforderlich.</w:t>
      </w:r>
    </w:p>
    <w:p>
      <w:pPr>
        <w:pStyle w:val="ListBullet"/>
        <w:widowControl/>
      </w:pPr>
      <w:r>
        <w:rPr>
          <w:rFonts w:ascii="Liberation Serif" w:hAnsi="Liberation Serif"/>
        </w:rPr>
        <w:t>Termin- und Iterationslogik: Design Review, Test Readiness Review, Dry Run, Test Window, Re-test Option, Report Release und Datenrechte.</w:t>
      </w:r>
    </w:p>
    <w:p>
      <w:pPr>
        <w:pStyle w:val="Heading2"/>
        <w:keepNext/>
        <w:widowControl/>
      </w:pPr>
      <w:r>
        <w:rPr>
          <w:rFonts w:ascii="Liberation Serif" w:hAnsi="Liberation Serif"/>
        </w:rPr>
        <w:t>6.8 Reihenfolge / Gate-Plan</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792"/>
            <w:shd w:fill="DCE6ED"/>
            <w:tcMar>
              <w:top w:w="90" w:type="dxa"/>
              <w:start w:w="90" w:type="dxa"/>
              <w:bottom w:w="90" w:type="dxa"/>
              <w:end w:w="90" w:type="dxa"/>
            </w:tcMar>
            <w:vAlign w:val="center"/>
          </w:tcPr>
          <w:p>
            <w:pPr>
              <w:jc w:val="center"/>
            </w:pPr>
            <w:r>
              <w:rPr>
                <w:rFonts w:ascii="Liberation Sans" w:hAnsi="Liberation Sans"/>
                <w:b/>
                <w:sz w:val="15"/>
              </w:rPr>
              <w:t>Gate</w:t>
            </w:r>
          </w:p>
        </w:tc>
        <w:tc>
          <w:tcPr>
            <w:tcW w:type="dxa" w:w="2376"/>
            <w:shd w:fill="DCE6ED"/>
            <w:tcMar>
              <w:top w:w="90" w:type="dxa"/>
              <w:start w:w="90" w:type="dxa"/>
              <w:bottom w:w="90" w:type="dxa"/>
              <w:end w:w="90" w:type="dxa"/>
            </w:tcMar>
            <w:vAlign w:val="center"/>
          </w:tcPr>
          <w:p>
            <w:pPr>
              <w:jc w:val="center"/>
            </w:pPr>
            <w:r>
              <w:rPr>
                <w:rFonts w:ascii="Liberation Sans" w:hAnsi="Liberation Sans"/>
                <w:b/>
                <w:sz w:val="15"/>
              </w:rPr>
              <w:t>Arbeit</w:t>
            </w:r>
          </w:p>
        </w:tc>
        <w:tc>
          <w:tcPr>
            <w:tcW w:type="dxa" w:w="1800"/>
            <w:shd w:fill="DCE6ED"/>
            <w:tcMar>
              <w:top w:w="90" w:type="dxa"/>
              <w:start w:w="90" w:type="dxa"/>
              <w:bottom w:w="90" w:type="dxa"/>
              <w:end w:w="90" w:type="dxa"/>
            </w:tcMar>
            <w:vAlign w:val="center"/>
          </w:tcPr>
          <w:p>
            <w:pPr>
              <w:jc w:val="center"/>
            </w:pPr>
            <w:r>
              <w:rPr>
                <w:rFonts w:ascii="Liberation Sans" w:hAnsi="Liberation Sans"/>
                <w:b/>
                <w:sz w:val="15"/>
              </w:rPr>
              <w:t>relative Zeit</w:t>
            </w:r>
          </w:p>
        </w:tc>
        <w:tc>
          <w:tcPr>
            <w:tcW w:type="dxa" w:w="4104"/>
            <w:shd w:fill="DCE6ED"/>
            <w:tcMar>
              <w:top w:w="90" w:type="dxa"/>
              <w:start w:w="90" w:type="dxa"/>
              <w:bottom w:w="90" w:type="dxa"/>
              <w:end w:w="90" w:type="dxa"/>
            </w:tcMar>
            <w:vAlign w:val="center"/>
          </w:tcPr>
          <w:p>
            <w:pPr>
              <w:jc w:val="center"/>
            </w:pPr>
            <w:r>
              <w:rPr>
                <w:rFonts w:ascii="Liberation Sans" w:hAnsi="Liberation Sans"/>
                <w:b/>
                <w:sz w:val="15"/>
              </w:rPr>
              <w:t>Exit</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G0</w:t>
            </w:r>
          </w:p>
        </w:tc>
        <w:tc>
          <w:tcPr>
            <w:tcW w:type="dxa" w:w="2376"/>
            <w:tcMar>
              <w:top w:w="70" w:type="dxa"/>
              <w:start w:w="80" w:type="dxa"/>
              <w:bottom w:w="70" w:type="dxa"/>
              <w:end w:w="80" w:type="dxa"/>
            </w:tcMar>
            <w:vAlign w:val="center"/>
          </w:tcPr>
          <w:p>
            <w:pPr>
              <w:spacing w:after="0" w:line="240" w:lineRule="auto"/>
              <w:jc w:val="left"/>
            </w:pPr>
            <w:r>
              <w:rPr>
                <w:rFonts w:ascii="Liberation Sans" w:hAnsi="Liberation Sans"/>
                <w:sz w:val="15"/>
              </w:rPr>
              <w:t>v1.3 Theory Closure</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5"/>
              </w:rPr>
              <w:t>jetzt</w:t>
            </w:r>
          </w:p>
        </w:tc>
        <w:tc>
          <w:tcPr>
            <w:tcW w:type="dxa" w:w="4104"/>
            <w:tcMar>
              <w:top w:w="70" w:type="dxa"/>
              <w:start w:w="80" w:type="dxa"/>
              <w:bottom w:w="70" w:type="dxa"/>
              <w:end w:w="80" w:type="dxa"/>
            </w:tcMar>
            <w:vAlign w:val="center"/>
          </w:tcPr>
          <w:p>
            <w:pPr>
              <w:spacing w:after="0" w:line="240" w:lineRule="auto"/>
              <w:jc w:val="left"/>
            </w:pPr>
            <w:r>
              <w:rPr>
                <w:rFonts w:ascii="Liberation Sans" w:hAnsi="Liberation Sans"/>
                <w:sz w:val="15"/>
              </w:rPr>
              <w:t>Reduced-Order-Baseline, Open Actions und RFQ-Pakete konsolidiert</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G1</w:t>
            </w:r>
          </w:p>
        </w:tc>
        <w:tc>
          <w:tcPr>
            <w:tcW w:type="dxa" w:w="2376"/>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Material/Vendor Freeze</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0-6 Monate</w:t>
            </w:r>
          </w:p>
        </w:tc>
        <w:tc>
          <w:tcPr>
            <w:tcW w:type="dxa" w:w="4104"/>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Prepreg/adhesive, HV components, battery cells/modules, PEMFC, LH2 valves/tank architecture selected</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G2</w:t>
            </w:r>
          </w:p>
        </w:tc>
        <w:tc>
          <w:tcPr>
            <w:tcW w:type="dxa" w:w="2376"/>
            <w:tcMar>
              <w:top w:w="70" w:type="dxa"/>
              <w:start w:w="80" w:type="dxa"/>
              <w:bottom w:w="70" w:type="dxa"/>
              <w:end w:w="80" w:type="dxa"/>
            </w:tcMar>
            <w:vAlign w:val="center"/>
          </w:tcPr>
          <w:p>
            <w:pPr>
              <w:spacing w:after="0" w:line="240" w:lineRule="auto"/>
              <w:jc w:val="left"/>
            </w:pPr>
            <w:r>
              <w:rPr>
                <w:rFonts w:ascii="Liberation Sans" w:hAnsi="Liberation Sans"/>
                <w:sz w:val="15"/>
              </w:rPr>
              <w:t>External High-Fidelity Closure</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5"/>
              </w:rPr>
              <w:t>3-12 Monate</w:t>
            </w:r>
          </w:p>
        </w:tc>
        <w:tc>
          <w:tcPr>
            <w:tcW w:type="dxa" w:w="4104"/>
            <w:tcMar>
              <w:top w:w="70" w:type="dxa"/>
              <w:start w:w="80" w:type="dxa"/>
              <w:bottom w:w="70" w:type="dxa"/>
              <w:end w:w="80" w:type="dxa"/>
            </w:tcMar>
            <w:vAlign w:val="center"/>
          </w:tcPr>
          <w:p>
            <w:pPr>
              <w:spacing w:after="0" w:line="240" w:lineRule="auto"/>
              <w:jc w:val="left"/>
            </w:pPr>
            <w:r>
              <w:rPr>
                <w:rFonts w:ascii="Liberation Sans" w:hAnsi="Liberation Sans"/>
                <w:sz w:val="15"/>
              </w:rPr>
              <w:t>CFD/URANS + shell/solid FEA + multiphysics + wind-tunnel correlation ausreichend für Test Loads</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G3</w:t>
            </w:r>
          </w:p>
        </w:tc>
        <w:tc>
          <w:tcPr>
            <w:tcW w:type="dxa" w:w="2376"/>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Coupon/Element/Subcomponent</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4-15 Monate</w:t>
            </w:r>
          </w:p>
        </w:tc>
        <w:tc>
          <w:tcPr>
            <w:tcW w:type="dxa" w:w="4104"/>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TEST-01..04, FEA correlation, design allowables</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G4</w:t>
            </w:r>
          </w:p>
        </w:tc>
        <w:tc>
          <w:tcPr>
            <w:tcW w:type="dxa" w:w="2376"/>
            <w:tcMar>
              <w:top w:w="70" w:type="dxa"/>
              <w:start w:w="80" w:type="dxa"/>
              <w:bottom w:w="70" w:type="dxa"/>
              <w:end w:w="80" w:type="dxa"/>
            </w:tcMar>
            <w:vAlign w:val="center"/>
          </w:tcPr>
          <w:p>
            <w:pPr>
              <w:spacing w:after="0" w:line="240" w:lineRule="auto"/>
              <w:jc w:val="left"/>
            </w:pPr>
            <w:r>
              <w:rPr>
                <w:rFonts w:ascii="Liberation Sans" w:hAnsi="Liberation Sans"/>
                <w:sz w:val="15"/>
              </w:rPr>
              <w:t>Subsystem Safety</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5"/>
              </w:rPr>
              <w:t>8-24 Monate</w:t>
            </w:r>
          </w:p>
        </w:tc>
        <w:tc>
          <w:tcPr>
            <w:tcW w:type="dxa" w:w="4104"/>
            <w:tcMar>
              <w:top w:w="70" w:type="dxa"/>
              <w:start w:w="80" w:type="dxa"/>
              <w:bottom w:w="70" w:type="dxa"/>
              <w:end w:w="80" w:type="dxa"/>
            </w:tcMar>
            <w:vAlign w:val="center"/>
          </w:tcPr>
          <w:p>
            <w:pPr>
              <w:spacing w:after="0" w:line="240" w:lineRule="auto"/>
              <w:jc w:val="left"/>
            </w:pPr>
            <w:r>
              <w:rPr>
                <w:rFonts w:ascii="Liberation Sans" w:hAnsi="Liberation Sans"/>
                <w:sz w:val="15"/>
              </w:rPr>
              <w:t>TEST-05..10 + EMC/HIRF, closure of major H2/HV/battery/thermal/ground risks</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G5</w:t>
            </w:r>
          </w:p>
        </w:tc>
        <w:tc>
          <w:tcPr>
            <w:tcW w:type="dxa" w:w="2376"/>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Human Factors / Certification Design Freeze</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12-30 Monate</w:t>
            </w:r>
          </w:p>
        </w:tc>
        <w:tc>
          <w:tcPr>
            <w:tcW w:type="dxa" w:w="4104"/>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TEST-11, agreed certification basis, updated SSA/compliance plan</w:t>
            </w:r>
          </w:p>
        </w:tc>
      </w:tr>
      <w:tr>
        <w:tc>
          <w:tcPr>
            <w:tcW w:type="dxa" w:w="792"/>
            <w:tcMar>
              <w:top w:w="70" w:type="dxa"/>
              <w:start w:w="80" w:type="dxa"/>
              <w:bottom w:w="70" w:type="dxa"/>
              <w:end w:w="80" w:type="dxa"/>
            </w:tcMar>
            <w:vAlign w:val="center"/>
          </w:tcPr>
          <w:p>
            <w:pPr>
              <w:spacing w:after="0" w:line="240" w:lineRule="auto"/>
              <w:jc w:val="left"/>
            </w:pPr>
            <w:r>
              <w:rPr>
                <w:rFonts w:ascii="Liberation Sans" w:hAnsi="Liberation Sans"/>
                <w:sz w:val="15"/>
              </w:rPr>
              <w:t>G6</w:t>
            </w:r>
          </w:p>
        </w:tc>
        <w:tc>
          <w:tcPr>
            <w:tcW w:type="dxa" w:w="2376"/>
            <w:tcMar>
              <w:top w:w="70" w:type="dxa"/>
              <w:start w:w="80" w:type="dxa"/>
              <w:bottom w:w="70" w:type="dxa"/>
              <w:end w:w="80" w:type="dxa"/>
            </w:tcMar>
            <w:vAlign w:val="center"/>
          </w:tcPr>
          <w:p>
            <w:pPr>
              <w:spacing w:after="0" w:line="240" w:lineRule="auto"/>
              <w:jc w:val="left"/>
            </w:pPr>
            <w:r>
              <w:rPr>
                <w:rFonts w:ascii="Liberation Sans" w:hAnsi="Liberation Sans"/>
                <w:sz w:val="15"/>
              </w:rPr>
              <w:t>Vehicle Ground Release</w:t>
            </w:r>
          </w:p>
        </w:tc>
        <w:tc>
          <w:tcPr>
            <w:tcW w:type="dxa" w:w="1800"/>
            <w:tcMar>
              <w:top w:w="70" w:type="dxa"/>
              <w:start w:w="80" w:type="dxa"/>
              <w:bottom w:w="70" w:type="dxa"/>
              <w:end w:w="80" w:type="dxa"/>
            </w:tcMar>
            <w:vAlign w:val="center"/>
          </w:tcPr>
          <w:p>
            <w:pPr>
              <w:spacing w:after="0" w:line="240" w:lineRule="auto"/>
              <w:jc w:val="left"/>
            </w:pPr>
            <w:r>
              <w:rPr>
                <w:rFonts w:ascii="Liberation Sans" w:hAnsi="Liberation Sans"/>
                <w:sz w:val="15"/>
              </w:rPr>
              <w:t>nach Prototype Assembly</w:t>
            </w:r>
          </w:p>
        </w:tc>
        <w:tc>
          <w:tcPr>
            <w:tcW w:type="dxa" w:w="4104"/>
            <w:tcMar>
              <w:top w:w="70" w:type="dxa"/>
              <w:start w:w="80" w:type="dxa"/>
              <w:bottom w:w="70" w:type="dxa"/>
              <w:end w:w="80" w:type="dxa"/>
            </w:tcMar>
            <w:vAlign w:val="center"/>
          </w:tcPr>
          <w:p>
            <w:pPr>
              <w:spacing w:after="0" w:line="240" w:lineRule="auto"/>
              <w:jc w:val="left"/>
            </w:pPr>
            <w:r>
              <w:rPr>
                <w:rFonts w:ascii="Liberation Sans" w:hAnsi="Liberation Sans"/>
                <w:sz w:val="15"/>
              </w:rPr>
              <w:t>TEST-12 + GVT + integrated systems</w:t>
            </w:r>
          </w:p>
        </w:tc>
      </w:tr>
      <w:tr>
        <w:tc>
          <w:tcPr>
            <w:tcW w:type="dxa" w:w="792"/>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G7</w:t>
            </w:r>
          </w:p>
        </w:tc>
        <w:tc>
          <w:tcPr>
            <w:tcW w:type="dxa" w:w="2376"/>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Flight Test</w:t>
            </w:r>
          </w:p>
        </w:tc>
        <w:tc>
          <w:tcPr>
            <w:tcW w:type="dxa" w:w="1800"/>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nach Flight Permit</w:t>
            </w:r>
          </w:p>
        </w:tc>
        <w:tc>
          <w:tcPr>
            <w:tcW w:type="dxa" w:w="4104"/>
            <w:tcMar>
              <w:top w:w="70" w:type="dxa"/>
              <w:start w:w="80" w:type="dxa"/>
              <w:bottom w:w="70" w:type="dxa"/>
              <w:end w:w="80" w:type="dxa"/>
            </w:tcMar>
            <w:vAlign w:val="center"/>
            <w:shd w:fill="F7F9FA"/>
          </w:tcPr>
          <w:p>
            <w:pPr>
              <w:spacing w:after="0" w:line="240" w:lineRule="auto"/>
              <w:jc w:val="left"/>
            </w:pPr>
            <w:r>
              <w:rPr>
                <w:rFonts w:ascii="Liberation Sans" w:hAnsi="Liberation Sans"/>
                <w:sz w:val="15"/>
              </w:rPr>
              <w:t>TEST-13 progressive envelope expansion</w:t>
            </w:r>
          </w:p>
        </w:tc>
      </w:tr>
    </w:tbl>
    <w:p>
      <w:pPr>
        <w:spacing w:after="40"/>
        <w:widowControl/>
      </w:pPr>
    </w:p>
    <w:p>
      <w:pPr>
        <w:spacing w:after="140" w:line="259" w:lineRule="auto"/>
        <w:widowControl/>
      </w:pPr>
      <w:r>
        <w:rPr>
          <w:rFonts w:ascii="Liberation Serif" w:hAnsi="Liberation Serif"/>
        </w:rPr>
        <w:t>Die Zeitangaben sind keine Programmaussage, sondern ein Parallelisierungs-Screen. Besonders G1/G2 laufen iterativ: Material-/Vendor-Freeze liefert bessere Solverinputs, Solvergebnisse wiederum ändern Testartikel und Hardwareauswahl. Whole-Ship und Flight Test beginnen erst, wenn die vorgelagerten Risiken ausreichend geschlossen sind.</w:t>
      </w:r>
    </w:p>
    <w:p>
      <w:pPr>
        <w:pStyle w:val="Heading2"/>
        <w:keepNext/>
        <w:widowControl/>
      </w:pPr>
      <w:r>
        <w:rPr>
          <w:rFonts w:ascii="Liberation Serif" w:hAnsi="Liberation Serif"/>
        </w:rPr>
        <w:t>6.9 Abbruch-/Redesign-Kriterien vor dem Flugprototyp</w:t>
      </w:r>
    </w:p>
    <w:p>
      <w:pPr>
        <w:pStyle w:val="ListBullet"/>
        <w:widowControl/>
      </w:pPr>
      <w:r>
        <w:rPr>
          <w:rFonts w:ascii="Liberation Serif" w:hAnsi="Liberation Serif"/>
        </w:rPr>
        <w:t>Aerostatik: Hot/High-/Wet-Weather-/Cell-Loss-Envelope kann die Zielmission nicht mit definierter Reserve erfüllen.</w:t>
      </w:r>
    </w:p>
    <w:p>
      <w:pPr>
        <w:pStyle w:val="ListBullet"/>
        <w:widowControl/>
      </w:pPr>
      <w:r>
        <w:rPr>
          <w:rFonts w:ascii="Liberation Serif" w:hAnsi="Liberation Serif"/>
        </w:rPr>
        <w:t>Struktur: FEA/Tests zeigen keine praktikable Margin oder Damage-Tolerance ohne unvertretbare Massensteigerung.</w:t>
      </w:r>
    </w:p>
    <w:p>
      <w:pPr>
        <w:pStyle w:val="ListBullet"/>
        <w:widowControl/>
      </w:pPr>
      <w:r>
        <w:rPr>
          <w:rFonts w:ascii="Liberation Serif" w:hAnsi="Liberation Serif"/>
        </w:rPr>
        <w:t>Ground Handling: Weather-Vane-/Mast-/Trolley-System kann abnormalen Wind nicht sicher in eine kontrollierbare Konfiguration überführen.</w:t>
      </w:r>
    </w:p>
    <w:p>
      <w:pPr>
        <w:pStyle w:val="ListBullet"/>
        <w:widowControl/>
      </w:pPr>
      <w:r>
        <w:rPr>
          <w:rFonts w:ascii="Liberation Serif" w:hAnsi="Liberation Serif"/>
        </w:rPr>
        <w:t>H2/LH2: Vent/Relief/Dispersion/Fire-Zonen lassen sich räumlich nicht sicher von Occupied Zones, Intakes und Ignition Sources trennen.</w:t>
      </w:r>
    </w:p>
    <w:p>
      <w:pPr>
        <w:pStyle w:val="ListBullet"/>
        <w:widowControl/>
      </w:pPr>
      <w:r>
        <w:rPr>
          <w:rFonts w:ascii="Liberation Serif" w:hAnsi="Liberation Serif"/>
        </w:rPr>
        <w:t>Batterie/HV: Thermal Runaway oder 1.500-V-Faults lassen sich nicht auf die vorgesehenen Compartments/Sections begrenzen.</w:t>
      </w:r>
    </w:p>
    <w:p>
      <w:pPr>
        <w:pStyle w:val="ListBullet"/>
        <w:widowControl/>
      </w:pPr>
      <w:r>
        <w:rPr>
          <w:rFonts w:ascii="Liberation Serif" w:hAnsi="Liberation Serif"/>
        </w:rPr>
        <w:t>Thermal: Hot-Day/N+1 Heat Rejection erfordert so viel Masse/Drag/Power, dass Mission oder Aerostatik kippt.</w:t>
      </w:r>
    </w:p>
    <w:p>
      <w:pPr>
        <w:pStyle w:val="ListBullet"/>
        <w:widowControl/>
      </w:pPr>
      <w:r>
        <w:rPr>
          <w:rFonts w:ascii="Liberation Serif" w:hAnsi="Liberation Serif"/>
        </w:rPr>
        <w:t>Controls/Aeroelastic: Flexible Modes und Control/Propulsor Forcing lassen sich nicht mit ausreichender Margin separieren.</w:t>
      </w:r>
    </w:p>
    <w:p>
      <w:pPr>
        <w:pStyle w:val="ListBullet"/>
        <w:widowControl/>
      </w:pPr>
      <w:r>
        <w:rPr>
          <w:rFonts w:ascii="Liberation Serif" w:hAnsi="Liberation Serif"/>
        </w:rPr>
        <w:t>Evacuation: Blocked-exit/fire-zone scenarios zeigen keine robuste, authority-acceptable Egress Architecture.</w:t>
      </w:r>
    </w:p>
    <w:p>
      <w:pPr>
        <w:pStyle w:val="ListBullet"/>
        <w:widowControl/>
      </w:pPr>
      <w:r>
        <w:rPr>
          <w:rFonts w:ascii="Liberation Serif" w:hAnsi="Liberation Serif"/>
        </w:rPr>
        <w:t>Industrialization: Prozessfähigkeit/NDI/Metrologie der tausenden Segmentjoints ist nicht beherrschbar.</w:t>
      </w:r>
    </w:p>
    <w:p>
      <w:pPr>
        <w:pStyle w:val="Heading1"/>
        <w:keepNext/>
        <w:widowControl/>
      </w:pPr>
      <w:r>
        <w:rPr>
          <w:rFonts w:ascii="Liberation Serif" w:hAnsi="Liberation Serif"/>
        </w:rPr>
        <w:t>7. Schlussfolgerung und nächster Entwicklungszustand</w:t>
      </w:r>
    </w:p>
    <w:p>
      <w:pPr>
        <w:spacing w:after="140" w:line="259" w:lineRule="auto"/>
        <w:widowControl/>
      </w:pPr>
      <w:r>
        <w:rPr>
          <w:rFonts w:ascii="Liberation Serif" w:hAnsi="Liberation Serif"/>
        </w:rPr>
        <w:t>Mit v1.3 ist der H350 im Sinne eines wissenschaftlichen, rechnerisch ausgereizten Preliminary Designs deutlich weiter geschlossen als im bisherigen v1.0-PDR-Paper allein. Der Entwurf besitzt eine kontrollierte Gesamtgeometrie, Massen-/CG-Baseline, Strukturraster, Traggaszellenarchitektur, Energie-/HV-/Thermal-/LH2-Systeme, Safety-Register, Verifikationskampagne, Manufacturing-Konzept und nun zusätzliche Hot/High-, Wet-Weather-, Failure-, Modal-, Mission-, HV-, H2-/LH2- und Fertigungsbounds.</w:t>
      </w:r>
    </w:p>
    <w:p>
      <w:pPr>
        <w:spacing w:after="140" w:line="259" w:lineRule="auto"/>
        <w:widowControl/>
      </w:pPr>
      <w:r>
        <w:rPr>
          <w:rFonts w:ascii="Liberation Serif" w:hAnsi="Liberation Serif"/>
        </w:rPr>
        <w:t>Der wichtigste Erkenntnisgewinn ist nicht, dass der Entwurf "bewiesen" wäre, sondern dass die verbleibenden Unbekannten jetzt klarer getrennt sind. Es gibt keine seriöse weitere Handrechnungsstufe, die ein B-Basis-Materialallowable, eine lokale nonlinear Shell/Solid-Spannung, eine reale Thermal-Runaway-Ausbreitung, ein zweiphasiges LH2-Relief, eine H2-Dispersion oder ein Flight-Control/GVT-Correlation-Ergebnis ersetzen könnte. Diese Grenzen sind jetzt bewusst Teil des Designs statt blinde Flecken.</w:t>
      </w:r>
    </w:p>
    <w:p>
      <w:pPr>
        <w:spacing w:after="140" w:line="259" w:lineRule="auto"/>
        <w:widowControl/>
      </w:pPr>
      <w:r>
        <w:rPr>
          <w:rFonts w:ascii="Liberation Serif" w:hAnsi="Liberation Serif"/>
        </w:rPr>
        <w:t>Der nächste formale interne Stand sollte daher nicht v1.4 als weitere Zahleniteration sein, sondern erst nach echter neuer Evidenz entstehen: entweder als v1.4 High-Fidelity Analysis Closure nach externer CFD/FEA-/Multiphysics-Kampagne oder als v1.4A nach ersten qualifizierten Material-/TA-01-Testdaten. Konfigurationsänderungen aus diesen Ergebnissen müssen wieder durch Mass, CG, Aerostatics, Safety, Requirements, ICDs und Testplanung propagiert werden.</w:t>
      </w:r>
    </w:p>
    <w:tbl>
      <w:tblPr>
        <w:tblW w:type="auto" w:w="0"/>
        <w:jc w:val="center"/>
        <w:tblLayout w:type="fixed"/>
        <w:tblLook w:firstColumn="1" w:firstRow="1" w:lastColumn="0" w:lastRow="0" w:noHBand="0" w:noVBand="1" w:val="04A0"/>
      </w:tblPr>
      <w:tblGrid>
        <w:gridCol w:w="9072"/>
      </w:tblGrid>
      <w:tr>
        <w:tc>
          <w:tcPr>
            <w:tcW w:type="dxa" w:w="10080"/>
            <w:shd w:fill="E4ECE7"/>
            <w:tcMar>
              <w:top w:w="120" w:type="dxa"/>
              <w:start w:w="150" w:type="dxa"/>
              <w:bottom w:w="120" w:type="dxa"/>
              <w:end w:w="150" w:type="dxa"/>
            </w:tcMar>
          </w:tcPr>
          <w:p>
            <w:r>
              <w:rPr>
                <w:b/>
                <w:color w:val="204658"/>
              </w:rPr>
              <w:t xml:space="preserve">DISPOSITION  </w:t>
            </w:r>
            <w:r>
              <w:t>H350-64 v1.3 = THEORY CLOSURE / PRE-TEST BASELINE. Freigegeben für RFQ-, High-Fidelity-Solver- und Development-Test-Vorbereitung. Nicht freigegeben für Bau eines Flugfahrzeugs, bemannten Betrieb oder Zulassungsbehauptungen.</w:t>
            </w:r>
          </w:p>
        </w:tc>
      </w:tr>
    </w:tbl>
    <w:p>
      <w:pPr>
        <w:spacing w:after="20"/>
        <w:widowControl/>
      </w:pPr>
    </w:p>
    <w:p>
      <w:pPr>
        <w:pStyle w:val="Heading1"/>
        <w:keepNext/>
        <w:widowControl/>
      </w:pPr>
      <w:r>
        <w:rPr>
          <w:rFonts w:ascii="Liberation Serif" w:hAnsi="Liberation Serif"/>
        </w:rPr>
        <w:t>Anhang A. Analysis- und Testkampagnen</w:t>
      </w:r>
    </w:p>
    <w:p>
      <w:pPr>
        <w:pStyle w:val="Heading2"/>
        <w:keepNext/>
        <w:widowControl/>
      </w:pPr>
      <w:r>
        <w:rPr>
          <w:rFonts w:ascii="Liberation Serif" w:hAnsi="Liberation Serif"/>
        </w:rPr>
        <w:t>A.1 v1.3 Rechenartefakte</w:t>
      </w:r>
    </w:p>
    <w:p>
      <w:pPr>
        <w:pStyle w:val="ListBullet"/>
        <w:widowControl/>
      </w:pPr>
      <w:r>
        <w:rPr>
          <w:rFonts w:ascii="Liberation Serif" w:hAnsi="Liberation Serif"/>
        </w:rPr>
        <w:t>aerostatic_envelope.csv</w:t>
      </w:r>
    </w:p>
    <w:p>
      <w:pPr>
        <w:pStyle w:val="ListBullet"/>
        <w:widowControl/>
      </w:pPr>
      <w:r>
        <w:rPr>
          <w:rFonts w:ascii="Liberation Serif" w:hAnsi="Liberation Serif"/>
        </w:rPr>
        <w:t>cell_loss_hotday.csv</w:t>
      </w:r>
    </w:p>
    <w:p>
      <w:pPr>
        <w:pStyle w:val="ListBullet"/>
        <w:widowControl/>
      </w:pPr>
      <w:r>
        <w:rPr>
          <w:rFonts w:ascii="Liberation Serif" w:hAnsi="Liberation Serif"/>
        </w:rPr>
        <w:t>compound_aerostatic_envelope.csv</w:t>
      </w:r>
    </w:p>
    <w:p>
      <w:pPr>
        <w:pStyle w:val="ListBullet"/>
        <w:widowControl/>
      </w:pPr>
      <w:r>
        <w:rPr>
          <w:rFonts w:ascii="Liberation Serif" w:hAnsi="Liberation Serif"/>
        </w:rPr>
        <w:t>max_pressure_altitude.csv</w:t>
      </w:r>
    </w:p>
    <w:p>
      <w:pPr>
        <w:pStyle w:val="ListBullet"/>
        <w:widowControl/>
      </w:pPr>
      <w:r>
        <w:rPr>
          <w:rFonts w:ascii="Liberation Serif" w:hAnsi="Liberation Serif"/>
        </w:rPr>
        <w:t>lift_gas_purity_sensitivity.csv</w:t>
      </w:r>
    </w:p>
    <w:p>
      <w:pPr>
        <w:pStyle w:val="ListBullet"/>
        <w:widowControl/>
      </w:pPr>
      <w:r>
        <w:rPr>
          <w:rFonts w:ascii="Liberation Serif" w:hAnsi="Liberation Serif"/>
        </w:rPr>
        <w:t>rain_film_sensitivity.csv</w:t>
      </w:r>
    </w:p>
    <w:p>
      <w:pPr>
        <w:pStyle w:val="ListBullet"/>
        <w:widowControl/>
      </w:pPr>
      <w:r>
        <w:rPr>
          <w:rFonts w:ascii="Liberation Serif" w:hAnsi="Liberation Serif"/>
        </w:rPr>
        <w:t>mission_speed_trade.csv</w:t>
      </w:r>
    </w:p>
    <w:p>
      <w:pPr>
        <w:pStyle w:val="ListBullet"/>
        <w:widowControl/>
      </w:pPr>
      <w:r>
        <w:rPr>
          <w:rFonts w:ascii="Liberation Serif" w:hAnsi="Liberation Serif"/>
        </w:rPr>
        <w:t>mission_25h_water.csv</w:t>
      </w:r>
    </w:p>
    <w:p>
      <w:pPr>
        <w:pStyle w:val="ListBullet"/>
        <w:widowControl/>
      </w:pPr>
      <w:r>
        <w:rPr>
          <w:rFonts w:ascii="Liberation Serif" w:hAnsi="Liberation Serif"/>
        </w:rPr>
        <w:t>fuel_water_cg.csv</w:t>
      </w:r>
    </w:p>
    <w:p>
      <w:pPr>
        <w:pStyle w:val="ListBullet"/>
        <w:widowControl/>
      </w:pPr>
      <w:r>
        <w:rPr>
          <w:rFonts w:ascii="Liberation Serif" w:hAnsi="Liberation Serif"/>
        </w:rPr>
        <w:t>fc_module_out.csv</w:t>
      </w:r>
    </w:p>
    <w:p>
      <w:pPr>
        <w:pStyle w:val="ListBullet"/>
        <w:widowControl/>
      </w:pPr>
      <w:r>
        <w:rPr>
          <w:rFonts w:ascii="Liberation Serif" w:hAnsi="Liberation Serif"/>
        </w:rPr>
        <w:t>battery_buffer.csv</w:t>
      </w:r>
    </w:p>
    <w:p>
      <w:pPr>
        <w:pStyle w:val="ListBullet"/>
        <w:widowControl/>
      </w:pPr>
      <w:r>
        <w:rPr>
          <w:rFonts w:ascii="Liberation Serif" w:hAnsi="Liberation Serif"/>
        </w:rPr>
        <w:t>pod_failure_envelope.csv</w:t>
      </w:r>
    </w:p>
    <w:p>
      <w:pPr>
        <w:pStyle w:val="ListBullet"/>
        <w:widowControl/>
      </w:pPr>
      <w:r>
        <w:rPr>
          <w:rFonts w:ascii="Liberation Serif" w:hAnsi="Liberation Serif"/>
        </w:rPr>
        <w:t>thermal_derate.csv</w:t>
      </w:r>
    </w:p>
    <w:p>
      <w:pPr>
        <w:pStyle w:val="ListBullet"/>
        <w:widowControl/>
      </w:pPr>
      <w:r>
        <w:rPr>
          <w:rFonts w:ascii="Liberation Serif" w:hAnsi="Liberation Serif"/>
        </w:rPr>
        <w:t>broadside_wind.csv</w:t>
      </w:r>
    </w:p>
    <w:p>
      <w:pPr>
        <w:pStyle w:val="ListBullet"/>
        <w:widowControl/>
      </w:pPr>
      <w:r>
        <w:rPr>
          <w:rFonts w:ascii="Liberation Serif" w:hAnsi="Liberation Serif"/>
        </w:rPr>
        <w:t>global_bending_longeron.csv</w:t>
      </w:r>
    </w:p>
    <w:p>
      <w:pPr>
        <w:pStyle w:val="ListBullet"/>
        <w:widowControl/>
      </w:pPr>
      <w:r>
        <w:rPr>
          <w:rFonts w:ascii="Liberation Serif" w:hAnsi="Liberation Serif"/>
        </w:rPr>
        <w:t>beam_modes.csv</w:t>
      </w:r>
    </w:p>
    <w:p>
      <w:pPr>
        <w:pStyle w:val="ListBullet"/>
        <w:widowControl/>
      </w:pPr>
      <w:r>
        <w:rPr>
          <w:rFonts w:ascii="Liberation Serif" w:hAnsi="Liberation Serif"/>
        </w:rPr>
        <w:t>modal_forcing_separation.csv</w:t>
      </w:r>
    </w:p>
    <w:p>
      <w:pPr>
        <w:pStyle w:val="ListBullet"/>
        <w:widowControl/>
      </w:pPr>
      <w:r>
        <w:rPr>
          <w:rFonts w:ascii="Liberation Serif" w:hAnsi="Liberation Serif"/>
        </w:rPr>
        <w:t>hv_bus_losses.csv</w:t>
      </w:r>
    </w:p>
    <w:p>
      <w:pPr>
        <w:pStyle w:val="ListBullet"/>
        <w:widowControl/>
      </w:pPr>
      <w:r>
        <w:rPr>
          <w:rFonts w:ascii="Liberation Serif" w:hAnsi="Liberation Serif"/>
        </w:rPr>
        <w:t>hv_fault_time_sensitivity.csv</w:t>
      </w:r>
    </w:p>
    <w:p>
      <w:pPr>
        <w:pStyle w:val="ListBullet"/>
        <w:widowControl/>
      </w:pPr>
      <w:r>
        <w:rPr>
          <w:rFonts w:ascii="Liberation Serif" w:hAnsi="Liberation Serif"/>
        </w:rPr>
        <w:t>h2_ventilation_bound.csv</w:t>
      </w:r>
    </w:p>
    <w:p>
      <w:pPr>
        <w:pStyle w:val="ListBullet"/>
        <w:widowControl/>
      </w:pPr>
      <w:r>
        <w:rPr>
          <w:rFonts w:ascii="Liberation Serif" w:hAnsi="Liberation Serif"/>
        </w:rPr>
        <w:t>lh2_feed_friction.csv</w:t>
      </w:r>
    </w:p>
    <w:p>
      <w:pPr>
        <w:pStyle w:val="ListBullet"/>
        <w:widowControl/>
      </w:pPr>
      <w:r>
        <w:rPr>
          <w:rFonts w:ascii="Liberation Serif" w:hAnsi="Liberation Serif"/>
        </w:rPr>
        <w:t>lh2_boiloff_sensitivity.csv</w:t>
      </w:r>
    </w:p>
    <w:p>
      <w:pPr>
        <w:pStyle w:val="ListBullet"/>
        <w:widowControl/>
      </w:pPr>
      <w:r>
        <w:rPr>
          <w:rFonts w:ascii="Liberation Serif" w:hAnsi="Liberation Serif"/>
        </w:rPr>
        <w:t>evac_core_block_sensitivity.csv</w:t>
      </w:r>
    </w:p>
    <w:p>
      <w:pPr>
        <w:pStyle w:val="ListBullet"/>
        <w:widowControl/>
      </w:pPr>
      <w:r>
        <w:rPr>
          <w:rFonts w:ascii="Liberation Serif" w:hAnsi="Liberation Serif"/>
        </w:rPr>
        <w:t>theoretical_closure_matrix.csv</w:t>
      </w:r>
    </w:p>
    <w:p>
      <w:pPr>
        <w:pStyle w:val="ListBullet"/>
        <w:widowControl/>
      </w:pPr>
      <w:r>
        <w:rPr>
          <w:rFonts w:ascii="Liberation Serif" w:hAnsi="Liberation Serif"/>
        </w:rPr>
        <w:t>verification_cost_provider_matrix.csv</w:t>
      </w:r>
    </w:p>
    <w:p>
      <w:pPr>
        <w:pStyle w:val="ListBullet"/>
        <w:widowControl/>
      </w:pPr>
      <w:r>
        <w:rPr>
          <w:rFonts w:ascii="Liberation Serif" w:hAnsi="Liberation Serif"/>
        </w:rPr>
        <w:t>provider_capability_register.csv</w:t>
      </w:r>
    </w:p>
    <w:p>
      <w:pPr>
        <w:pStyle w:val="Heading2"/>
        <w:keepNext/>
        <w:widowControl/>
      </w:pPr>
      <w:r>
        <w:rPr>
          <w:rFonts w:ascii="Liberation Serif" w:hAnsi="Liberation Serif"/>
        </w:rPr>
        <w:t>A.2 Reproduzierbarkeit</w:t>
      </w:r>
    </w:p>
    <w:p>
      <w:pPr>
        <w:spacing w:after="140" w:line="259" w:lineRule="auto"/>
        <w:widowControl/>
      </w:pPr>
      <w:r>
        <w:rPr>
          <w:rFonts w:ascii="Liberation Serif" w:hAnsi="Liberation Serif"/>
        </w:rPr>
        <w:t>Die v1.3-Rechnungen wurden mit einem Python/NumPy/SciPy-Rechenpaket ausgeführt. Eingaben sind im Script explizit als Baseline-Parameter definiert. Der Zweck ist Nachvollziehbarkeit: jede tabellierte Größe kann aus den kontrollierten Baselinewerten erneut berechnet werden. Bei späteren Designänderungen ist die gesamte v1.3-Kette erneut auszuführen statt einzelne Tabellen manuell zu überschreiben.</w:t>
      </w:r>
    </w:p>
    <w:p>
      <w:pPr>
        <w:pStyle w:val="Heading1"/>
        <w:keepNext/>
        <w:widowControl/>
      </w:pPr>
      <w:r>
        <w:rPr>
          <w:rFonts w:ascii="Liberation Serif" w:hAnsi="Liberation Serif"/>
        </w:rPr>
        <w:t>Anhang B. Anbieterregister und offizielle Quellen</w:t>
      </w:r>
    </w:p>
    <w:p>
      <w:pPr>
        <w:widowControl/>
      </w:pPr>
      <w:r>
        <w:rPr>
          <w:rFonts w:ascii="Liberation Sans" w:hAnsi="Liberation Sans"/>
          <w:b/>
        </w:rPr>
        <w:t>IABG - Ottobrunn, Germany</w:t>
      </w:r>
    </w:p>
    <w:p>
      <w:pPr>
        <w:widowControl/>
      </w:pPr>
      <w:r>
        <w:rPr>
          <w:rFonts w:ascii="Liberation Serif" w:hAnsi="Liberation Serif"/>
        </w:rPr>
        <w:t>Static/dynamic structural, fatigue, full-airframe/subsystem/component; EMC/HIRF/secondary lightning; virtual testing</w:t>
      </w:r>
    </w:p>
    <w:p>
      <w:pPr>
        <w:widowControl/>
      </w:pPr>
      <w:hyperlink r:id="rId16">
        <w:r>
          <w:rPr>
            <w:color w:val="345B72"/>
            <w:u w:val="single"/>
          </w:rPr>
          <w:t>https://www.iabg.de/en/services/testing-qualification/product-qualification/strength-and-fatigue/structural-tests</w:t>
        </w:r>
      </w:hyperlink>
    </w:p>
    <w:p>
      <w:pPr>
        <w:widowControl/>
      </w:pPr>
      <w:hyperlink r:id="rId17">
        <w:r>
          <w:rPr>
            <w:color w:val="345B72"/>
            <w:u w:val="single"/>
          </w:rPr>
          <w:t>https://www.iabg.de/en/services/testing-qualification/product-qualification/electromagnetic-tests</w:t>
        </w:r>
      </w:hyperlink>
    </w:p>
    <w:p>
      <w:pPr>
        <w:widowControl/>
      </w:pPr>
      <w:r>
        <w:rPr>
          <w:rFonts w:ascii="Liberation Sans" w:hAnsi="Liberation Sans"/>
          <w:b/>
        </w:rPr>
        <w:t>Applus+ IMA Dresden - Dresden, Germany</w:t>
      </w:r>
    </w:p>
    <w:p>
      <w:pPr>
        <w:widowControl/>
      </w:pPr>
      <w:r>
        <w:rPr>
          <w:rFonts w:ascii="Liberation Serif" w:hAnsi="Liberation Serif"/>
        </w:rPr>
        <w:t>Aerospace structural/material/component/full-scale tests; composites fatigue up to 2 MN and climatic exposure</w:t>
      </w:r>
    </w:p>
    <w:p>
      <w:pPr>
        <w:widowControl/>
      </w:pPr>
      <w:hyperlink r:id="rId18">
        <w:r>
          <w:rPr>
            <w:color w:val="345B72"/>
            <w:u w:val="single"/>
          </w:rPr>
          <w:t>https://www.ima-dresden.de/en/service-portfolio/focus-industries/aerospace/</w:t>
        </w:r>
      </w:hyperlink>
    </w:p>
    <w:p>
      <w:pPr>
        <w:widowControl/>
      </w:pPr>
      <w:hyperlink r:id="rId19">
        <w:r>
          <w:rPr>
            <w:color w:val="345B72"/>
            <w:u w:val="single"/>
          </w:rPr>
          <w:t>https://www.ima-dresden.de/en/service-portfolio/focus-materials/material-testing-for-plastics-and-composite-materials/</w:t>
        </w:r>
      </w:hyperlink>
    </w:p>
    <w:p>
      <w:pPr>
        <w:widowControl/>
      </w:pPr>
      <w:r>
        <w:rPr>
          <w:rFonts w:ascii="Liberation Sans" w:hAnsi="Liberation Sans"/>
          <w:b/>
        </w:rPr>
        <w:t>DNW NWB - Braunschweig, Germany</w:t>
      </w:r>
    </w:p>
    <w:p>
      <w:pPr>
        <w:widowControl/>
      </w:pPr>
      <w:r>
        <w:rPr>
          <w:rFonts w:ascii="Liberation Serif" w:hAnsi="Liberation Serif"/>
        </w:rPr>
        <w:t>Low-speed aeroacoustic/dynamic wind tunnel, 3.25 x 2.8 m, up to 90 m/s, 6-DOF dynamic mechanism</w:t>
      </w:r>
    </w:p>
    <w:p>
      <w:pPr>
        <w:widowControl/>
      </w:pPr>
      <w:hyperlink r:id="rId20">
        <w:r>
          <w:rPr>
            <w:color w:val="345B72"/>
            <w:u w:val="single"/>
          </w:rPr>
          <w:t>https://www.dnw.aero/wind-tunnels/nwb/</w:t>
        </w:r>
      </w:hyperlink>
    </w:p>
    <w:p>
      <w:pPr>
        <w:widowControl/>
      </w:pPr>
      <w:r>
        <w:rPr>
          <w:rFonts w:ascii="Liberation Sans" w:hAnsi="Liberation Sans"/>
          <w:b/>
        </w:rPr>
        <w:t>DNW LLF - Marknesse, Netherlands</w:t>
      </w:r>
    </w:p>
    <w:p>
      <w:pPr>
        <w:widowControl/>
      </w:pPr>
      <w:r>
        <w:rPr>
          <w:rFonts w:ascii="Liberation Serif" w:hAnsi="Liberation Serif"/>
        </w:rPr>
        <w:t>Large low-speed wind tunnel, up to 9.5 x 9.5 m; powered/propeller aircraft and dynamic testing</w:t>
      </w:r>
    </w:p>
    <w:p>
      <w:pPr>
        <w:widowControl/>
      </w:pPr>
      <w:hyperlink r:id="rId21">
        <w:r>
          <w:rPr>
            <w:color w:val="345B72"/>
            <w:u w:val="single"/>
          </w:rPr>
          <w:t>https://www.dnw.aero/wind-tunnels/llf/</w:t>
        </w:r>
      </w:hyperlink>
    </w:p>
    <w:p>
      <w:pPr>
        <w:widowControl/>
      </w:pPr>
      <w:r>
        <w:rPr>
          <w:rFonts w:ascii="Liberation Sans" w:hAnsi="Liberation Sans"/>
          <w:b/>
        </w:rPr>
        <w:t>DEKRA Battery Test Center - Klettwitz, Germany</w:t>
      </w:r>
    </w:p>
    <w:p>
      <w:pPr>
        <w:widowControl/>
      </w:pPr>
      <w:r>
        <w:rPr>
          <w:rFonts w:ascii="Liberation Serif" w:hAnsi="Liberation Serif"/>
        </w:rPr>
        <w:t>Large-scale battery thermal propagation/fire testing under controlled conditions</w:t>
      </w:r>
    </w:p>
    <w:p>
      <w:pPr>
        <w:widowControl/>
      </w:pPr>
      <w:hyperlink r:id="rId22">
        <w:r>
          <w:rPr>
            <w:color w:val="345B72"/>
            <w:u w:val="single"/>
          </w:rPr>
          <w:t>https://www.dekra.com/en/battery-testing-builds-confidence/</w:t>
        </w:r>
      </w:hyperlink>
    </w:p>
    <w:p>
      <w:pPr>
        <w:widowControl/>
      </w:pPr>
      <w:r>
        <w:rPr>
          <w:rFonts w:ascii="Liberation Sans" w:hAnsi="Liberation Sans"/>
          <w:b/>
        </w:rPr>
        <w:t>BAM TTS - Horstwalde/Baruth, Germany</w:t>
      </w:r>
    </w:p>
    <w:p>
      <w:pPr>
        <w:widowControl/>
      </w:pPr>
      <w:r>
        <w:rPr>
          <w:rFonts w:ascii="Liberation Serif" w:hAnsi="Liberation Serif"/>
        </w:rPr>
        <w:t>12 km2 technical safety site; fire/explosion, energy storage, H2; LH2 field planned</w:t>
      </w:r>
    </w:p>
    <w:p>
      <w:pPr>
        <w:widowControl/>
      </w:pPr>
      <w:hyperlink r:id="rId23">
        <w:r>
          <w:rPr>
            <w:color w:val="345B72"/>
            <w:u w:val="single"/>
          </w:rPr>
          <w:t>https://www.bam.de/Navigation/EN/About-us/Locations/TTS/bam-tts.html</w:t>
        </w:r>
      </w:hyperlink>
    </w:p>
    <w:p>
      <w:pPr>
        <w:widowControl/>
      </w:pPr>
      <w:r>
        <w:rPr>
          <w:rFonts w:ascii="Liberation Sans" w:hAnsi="Liberation Sans"/>
          <w:b/>
        </w:rPr>
        <w:t>TUV SUD H2 Lab - Garching, Germany</w:t>
      </w:r>
    </w:p>
    <w:p>
      <w:pPr>
        <w:widowControl/>
      </w:pPr>
      <w:r>
        <w:rPr>
          <w:rFonts w:ascii="Liberation Serif" w:hAnsi="Liberation Serif"/>
        </w:rPr>
        <w:t>H2 material/component/system testing; 150 MPa cycling, -40 to +180 C, flow/permeation/leak testing</w:t>
      </w:r>
    </w:p>
    <w:p>
      <w:pPr>
        <w:widowControl/>
      </w:pPr>
      <w:hyperlink r:id="rId24">
        <w:r>
          <w:rPr>
            <w:color w:val="345B72"/>
            <w:u w:val="single"/>
          </w:rPr>
          <w:t>https://www.tuvsud.com/en/newsroom/press-releases/2026/april/tuev-sued-opens-new-hydrogen-testing-laboratory-in-garching</w:t>
        </w:r>
      </w:hyperlink>
    </w:p>
    <w:p>
      <w:pPr>
        <w:widowControl/>
      </w:pPr>
      <w:r>
        <w:rPr>
          <w:rFonts w:ascii="Liberation Sans" w:hAnsi="Liberation Sans"/>
          <w:b/>
        </w:rPr>
        <w:t>ZAL - Hamburg, Germany</w:t>
      </w:r>
    </w:p>
    <w:p>
      <w:pPr>
        <w:widowControl/>
      </w:pPr>
      <w:r>
        <w:rPr>
          <w:rFonts w:ascii="Liberation Serif" w:hAnsi="Liberation Serif"/>
        </w:rPr>
        <w:t>Fuel Cell Lab open to partners; Cabin &amp; Cargo Test Rig &gt;200 m2, 10 m high, segments to 15 m x 7.8 m</w:t>
      </w:r>
    </w:p>
    <w:p>
      <w:pPr>
        <w:widowControl/>
      </w:pPr>
      <w:hyperlink r:id="rId25">
        <w:r>
          <w:rPr>
            <w:color w:val="345B72"/>
            <w:u w:val="single"/>
          </w:rPr>
          <w:t>https://zal.aero/en/innovation-rt/infrastructure/</w:t>
        </w:r>
      </w:hyperlink>
    </w:p>
    <w:p>
      <w:pPr>
        <w:pStyle w:val="Heading1"/>
        <w:keepNext/>
        <w:widowControl/>
      </w:pPr>
      <w:r>
        <w:rPr>
          <w:rFonts w:ascii="Liberation Serif" w:hAnsi="Liberation Serif"/>
        </w:rPr>
        <w:t>Anhang C. v1.3 Modellannahmen und Grenzen</w:t>
      </w:r>
    </w:p>
    <w:p>
      <w:pPr>
        <w:pStyle w:val="ListBullet"/>
        <w:widowControl/>
      </w:pPr>
      <w:r>
        <w:rPr>
          <w:rFonts w:ascii="Liberation Serif" w:hAnsi="Liberation Serif"/>
        </w:rPr>
        <w:t>Aerostatik: ideale Gase, ISA-Druck, 250 Pa Zellüberdruck, 99,5 % H2 Basisscreen, max. Zellzuweisung 88 % Hüllvolumen. Keine thermoelastische Zellmembran-/Permeationsdynamik.</w:t>
      </w:r>
    </w:p>
    <w:p>
      <w:pPr>
        <w:pStyle w:val="ListBullet"/>
        <w:widowControl/>
      </w:pPr>
      <w:r>
        <w:rPr>
          <w:rFonts w:ascii="Liberation Serif" w:hAnsi="Liberation Serif"/>
        </w:rPr>
        <w:t>Drag/Power: D proportional v^2 um den 79-kN/100-km/h-Referenzpunkt; konstante propulsive Effizienz 0,692 und Motorwirkungsgrad 0,95. Niedrige Geschwindigkeiten sind daher optimistisch.</w:t>
      </w:r>
    </w:p>
    <w:p>
      <w:pPr>
        <w:pStyle w:val="ListBullet"/>
        <w:widowControl/>
      </w:pPr>
      <w:r>
        <w:rPr>
          <w:rFonts w:ascii="Liberation Serif" w:hAnsi="Liberation Serif"/>
        </w:rPr>
        <w:t>PEMFC: elektrische Effizienz 0,55, H2 LHV 33,33 kWh/kg, 0,75 MW fixe elektrische Nebenlast im Reduced-Order-Modell.</w:t>
      </w:r>
    </w:p>
    <w:p>
      <w:pPr>
        <w:pStyle w:val="ListBullet"/>
        <w:widowControl/>
      </w:pPr>
      <w:r>
        <w:rPr>
          <w:rFonts w:ascii="Liberation Serif" w:hAnsi="Liberation Serif"/>
        </w:rPr>
        <w:t>Globalstruktur: 24 Longeronlinien homogenisiert; keine Shell-/Ring-/Joint-/Bucklingdetails. Modalmodell ist Euler-Bernoulli plus transversale Added Mass.</w:t>
      </w:r>
    </w:p>
    <w:p>
      <w:pPr>
        <w:pStyle w:val="ListBullet"/>
        <w:widowControl/>
      </w:pPr>
      <w:r>
        <w:rPr>
          <w:rFonts w:ascii="Liberation Serif" w:hAnsi="Liberation Serif"/>
        </w:rPr>
        <w:t>Ground wind: rho=1,225 kg/m3, Cd,y=0,8, Gust-Faktor 1,30 und volle Seitenprojektion. Kein aeroelastischer Weather-Vane-Credit im Broadside-Bound.</w:t>
      </w:r>
    </w:p>
    <w:p>
      <w:pPr>
        <w:pStyle w:val="ListBullet"/>
        <w:widowControl/>
      </w:pPr>
      <w:r>
        <w:rPr>
          <w:rFonts w:ascii="Liberation Serif" w:hAnsi="Liberation Serif"/>
        </w:rPr>
        <w:t>HV: 1.200 mm2 Al-Leiter je Polarität, rho_e=2,82e-8 Ohm m; reine ohmsche Leitungsverluste. Keine AC-Ripple-/Skin-/Connector-/Thermal-Effekte.</w:t>
      </w:r>
    </w:p>
    <w:p>
      <w:pPr>
        <w:pStyle w:val="ListBullet"/>
        <w:widowControl/>
      </w:pPr>
      <w:r>
        <w:rPr>
          <w:rFonts w:ascii="Liberation Serif" w:hAnsi="Liberation Serif"/>
        </w:rPr>
        <w:t>H2 ventilation: Perfect-Mix-Untergrenze. Keine Buoyancy-Plume-, Stratification- oder Jet-Dynamics.</w:t>
      </w:r>
    </w:p>
    <w:p>
      <w:pPr>
        <w:pStyle w:val="ListBullet"/>
        <w:widowControl/>
      </w:pPr>
      <w:r>
        <w:rPr>
          <w:rFonts w:ascii="Liberation Serif" w:hAnsi="Liberation Serif"/>
        </w:rPr>
        <w:t>LH2 feed: einfache Darcy-Reibung mit f=0,02; keine Fittings, zweiphasigen Effekte, Chill-down oder Ventilkennlinien.</w:t>
      </w:r>
    </w:p>
    <w:p>
      <w:pPr>
        <w:pStyle w:val="ListBullet"/>
        <w:widowControl/>
      </w:pPr>
      <w:r>
        <w:rPr>
          <w:rFonts w:ascii="Liberation Serif" w:hAnsi="Liberation Serif"/>
        </w:rPr>
        <w:t>Kosten: unabhängige 2026-ROM-Planwerte; keine Providerquotes, keine Umsatzsteuer; Prototypbau, permanente 350-m-Integrationsanlage und Redesignkosten nicht enthalten.</w:t>
      </w:r>
    </w:p>
    <w:p>
      <w:pPr>
        <w:pStyle w:val="Heading1"/>
        <w:keepNext/>
        <w:widowControl/>
      </w:pPr>
      <w:r>
        <w:rPr>
          <w:rFonts w:ascii="Liberation Serif" w:hAnsi="Liberation Serif"/>
        </w:rPr>
        <w:t>Anhang D. Kontrollierte Zeichnungsblätter</w:t>
      </w:r>
    </w:p>
    <w:p>
      <w:pPr>
        <w:spacing w:after="140" w:line="259" w:lineRule="auto"/>
        <w:widowControl/>
      </w:pPr>
      <w:r>
        <w:rPr>
          <w:rFonts w:ascii="Liberation Serif" w:hAnsi="Liberation Serif"/>
        </w:rPr>
        <w:t>Die folgenden Blätter sind verkleinerte Ansichten der separat kontrollierten A3-Artefakte. Für Maße und Fertigungsdetails gilt jeweils die Original-PDF, nicht die skalierte Einbettung.</w:t>
      </w:r>
    </w:p>
    <w:p>
      <w:pPr>
        <w:sectPr>
          <w:headerReference w:type="default" r:id="rId9"/>
          <w:footerReference w:type="default" r:id="rId10"/>
          <w:pgSz w:w="12240" w:h="15840"/>
          <w:pgMar w:top="1008" w:right="1080" w:bottom="936" w:left="1080" w:header="360" w:footer="360" w:gutter="0"/>
          <w:cols w:space="720"/>
          <w:docGrid w:linePitch="360"/>
        </w:sectPr>
        <w:widowControl/>
      </w:pPr>
    </w:p>
    <w:p>
      <w:pPr>
        <w:jc w:val="center"/>
        <w:widowControl/>
      </w:pPr>
      <w:r>
        <w:rPr>
          <w:rFonts w:ascii="Liberation Sans" w:hAnsi="Liberation Sans"/>
          <w:b/>
          <w:sz w:val="22"/>
        </w:rPr>
        <w:t>D.1 H350 v0.8 General Arrangement A3</w:t>
      </w:r>
    </w:p>
    <w:p>
      <w:pPr>
        <w:jc w:val="center"/>
        <w:widowControl/>
      </w:pPr>
      <w:r>
        <w:rPr>
          <w:rFonts w:ascii="Liberation Serif" w:hAnsi="Liberation Serif"/>
        </w:rPr>
        <w:drawing>
          <wp:inline xmlns:a="http://schemas.openxmlformats.org/drawingml/2006/main" xmlns:pic="http://schemas.openxmlformats.org/drawingml/2006/picture">
            <wp:extent cx="8869680" cy="6289409"/>
            <wp:docPr id="6" name="Picture 6"/>
            <wp:cNvGraphicFramePr>
              <a:graphicFrameLocks noChangeAspect="1"/>
            </wp:cNvGraphicFramePr>
            <a:graphic>
              <a:graphicData uri="http://schemas.openxmlformats.org/drawingml/2006/picture">
                <pic:pic>
                  <pic:nvPicPr>
                    <pic:cNvPr id="0" name="H350_v08_general_arrangement_A3.png"/>
                    <pic:cNvPicPr/>
                  </pic:nvPicPr>
                  <pic:blipFill>
                    <a:blip r:embed="rId26"/>
                    <a:stretch>
                      <a:fillRect/>
                    </a:stretch>
                  </pic:blipFill>
                  <pic:spPr>
                    <a:xfrm>
                      <a:off x="0" y="0"/>
                      <a:ext cx="8869680" cy="6289409"/>
                    </a:xfrm>
                    <a:prstGeom prst="rect"/>
                  </pic:spPr>
                </pic:pic>
              </a:graphicData>
            </a:graphic>
          </wp:inline>
        </w:drawing>
      </w:r>
    </w:p>
    <w:p>
      <w:pPr>
        <w:widowControl/>
      </w:pPr>
      <w:r>
        <w:rPr>
          <w:rFonts w:ascii="Liberation Serif" w:hAnsi="Liberation Serif"/>
        </w:rPr>
        <w:br w:type="page"/>
      </w:r>
    </w:p>
    <w:p>
      <w:pPr>
        <w:jc w:val="center"/>
        <w:widowControl/>
      </w:pPr>
      <w:r>
        <w:rPr>
          <w:rFonts w:ascii="Liberation Sans" w:hAnsi="Liberation Sans"/>
          <w:b/>
          <w:sz w:val="22"/>
        </w:rPr>
        <w:t>D.2 H350 v0.9 Systems Routing A3</w:t>
      </w:r>
    </w:p>
    <w:p>
      <w:pPr>
        <w:jc w:val="center"/>
        <w:widowControl/>
      </w:pPr>
      <w:r>
        <w:rPr>
          <w:rFonts w:ascii="Liberation Serif" w:hAnsi="Liberation Serif"/>
        </w:rPr>
        <w:drawing>
          <wp:inline xmlns:a="http://schemas.openxmlformats.org/drawingml/2006/main" xmlns:pic="http://schemas.openxmlformats.org/drawingml/2006/picture">
            <wp:extent cx="8869680" cy="5705013"/>
            <wp:docPr id="7" name="Picture 7"/>
            <wp:cNvGraphicFramePr>
              <a:graphicFrameLocks noChangeAspect="1"/>
            </wp:cNvGraphicFramePr>
            <a:graphic>
              <a:graphicData uri="http://schemas.openxmlformats.org/drawingml/2006/picture">
                <pic:pic>
                  <pic:nvPicPr>
                    <pic:cNvPr id="0" name="H350_v09_systems_routing_A3.png"/>
                    <pic:cNvPicPr/>
                  </pic:nvPicPr>
                  <pic:blipFill>
                    <a:blip r:embed="rId27"/>
                    <a:stretch>
                      <a:fillRect/>
                    </a:stretch>
                  </pic:blipFill>
                  <pic:spPr>
                    <a:xfrm>
                      <a:off x="0" y="0"/>
                      <a:ext cx="8869680" cy="5705013"/>
                    </a:xfrm>
                    <a:prstGeom prst="rect"/>
                  </pic:spPr>
                </pic:pic>
              </a:graphicData>
            </a:graphic>
          </wp:inline>
        </w:drawing>
      </w:r>
    </w:p>
    <w:p>
      <w:pPr>
        <w:widowControl/>
      </w:pPr>
      <w:r>
        <w:rPr>
          <w:rFonts w:ascii="Liberation Serif" w:hAnsi="Liberation Serif"/>
        </w:rPr>
        <w:br w:type="page"/>
      </w:r>
    </w:p>
    <w:p>
      <w:pPr>
        <w:jc w:val="center"/>
        <w:widowControl/>
      </w:pPr>
      <w:r>
        <w:rPr>
          <w:rFonts w:ascii="Liberation Sans" w:hAnsi="Liberation Sans"/>
          <w:b/>
          <w:sz w:val="22"/>
        </w:rPr>
        <w:t>D.3 H350 v1.0 PDR Master A3</w:t>
      </w:r>
    </w:p>
    <w:p>
      <w:pPr>
        <w:jc w:val="center"/>
        <w:widowControl/>
      </w:pPr>
      <w:r>
        <w:rPr>
          <w:rFonts w:ascii="Liberation Serif" w:hAnsi="Liberation Serif"/>
        </w:rPr>
        <w:drawing>
          <wp:inline xmlns:a="http://schemas.openxmlformats.org/drawingml/2006/main" xmlns:pic="http://schemas.openxmlformats.org/drawingml/2006/picture">
            <wp:extent cx="8869680" cy="6289409"/>
            <wp:docPr id="8" name="Picture 8"/>
            <wp:cNvGraphicFramePr>
              <a:graphicFrameLocks noChangeAspect="1"/>
            </wp:cNvGraphicFramePr>
            <a:graphic>
              <a:graphicData uri="http://schemas.openxmlformats.org/drawingml/2006/picture">
                <pic:pic>
                  <pic:nvPicPr>
                    <pic:cNvPr id="0" name="H350_v1_0_PDR_master_A3.png"/>
                    <pic:cNvPicPr/>
                  </pic:nvPicPr>
                  <pic:blipFill>
                    <a:blip r:embed="rId28"/>
                    <a:stretch>
                      <a:fillRect/>
                    </a:stretch>
                  </pic:blipFill>
                  <pic:spPr>
                    <a:xfrm>
                      <a:off x="0" y="0"/>
                      <a:ext cx="8869680" cy="6289409"/>
                    </a:xfrm>
                    <a:prstGeom prst="rect"/>
                  </pic:spPr>
                </pic:pic>
              </a:graphicData>
            </a:graphic>
          </wp:inline>
        </w:drawing>
      </w:r>
    </w:p>
    <w:p>
      <w:pPr>
        <w:widowControl/>
      </w:pPr>
      <w:r>
        <w:rPr>
          <w:rFonts w:ascii="Liberation Serif" w:hAnsi="Liberation Serif"/>
        </w:rPr>
        <w:br w:type="page"/>
      </w:r>
    </w:p>
    <w:p>
      <w:pPr>
        <w:jc w:val="center"/>
        <w:widowControl/>
      </w:pPr>
      <w:r>
        <w:rPr>
          <w:rFonts w:ascii="Liberation Sans" w:hAnsi="Liberation Sans"/>
          <w:b/>
          <w:sz w:val="22"/>
        </w:rPr>
        <w:t>D.4 H350 v1.1 Test Articles A3</w:t>
      </w:r>
    </w:p>
    <w:p>
      <w:pPr>
        <w:jc w:val="center"/>
        <w:widowControl/>
      </w:pPr>
      <w:r>
        <w:rPr>
          <w:rFonts w:ascii="Liberation Serif" w:hAnsi="Liberation Serif"/>
        </w:rPr>
        <w:drawing>
          <wp:inline xmlns:a="http://schemas.openxmlformats.org/drawingml/2006/main" xmlns:pic="http://schemas.openxmlformats.org/drawingml/2006/picture">
            <wp:extent cx="8869680" cy="6030839"/>
            <wp:docPr id="9" name="Picture 9"/>
            <wp:cNvGraphicFramePr>
              <a:graphicFrameLocks noChangeAspect="1"/>
            </wp:cNvGraphicFramePr>
            <a:graphic>
              <a:graphicData uri="http://schemas.openxmlformats.org/drawingml/2006/picture">
                <pic:pic>
                  <pic:nvPicPr>
                    <pic:cNvPr id="0" name="H350_v1_1_test_articles_A3.png"/>
                    <pic:cNvPicPr/>
                  </pic:nvPicPr>
                  <pic:blipFill>
                    <a:blip r:embed="rId29"/>
                    <a:stretch>
                      <a:fillRect/>
                    </a:stretch>
                  </pic:blipFill>
                  <pic:spPr>
                    <a:xfrm>
                      <a:off x="0" y="0"/>
                      <a:ext cx="8869680" cy="6030839"/>
                    </a:xfrm>
                    <a:prstGeom prst="rect"/>
                  </pic:spPr>
                </pic:pic>
              </a:graphicData>
            </a:graphic>
          </wp:inline>
        </w:drawing>
      </w:r>
    </w:p>
    <w:p>
      <w:pPr>
        <w:widowControl/>
      </w:pPr>
      <w:r>
        <w:rPr>
          <w:rFonts w:ascii="Liberation Serif" w:hAnsi="Liberation Serif"/>
        </w:rPr>
        <w:br w:type="page"/>
      </w:r>
    </w:p>
    <w:p>
      <w:pPr>
        <w:jc w:val="center"/>
        <w:widowControl/>
      </w:pPr>
      <w:r>
        <w:rPr>
          <w:rFonts w:ascii="Liberation Sans" w:hAnsi="Liberation Sans"/>
          <w:b/>
          <w:sz w:val="22"/>
        </w:rPr>
        <w:t>D.5 H350 v1.2 TA-01 Drawing Pack A3 - Sheet 1</w:t>
      </w:r>
    </w:p>
    <w:p>
      <w:pPr>
        <w:jc w:val="center"/>
        <w:widowControl/>
      </w:pPr>
      <w:r>
        <w:rPr>
          <w:rFonts w:ascii="Liberation Serif" w:hAnsi="Liberation Serif"/>
        </w:rPr>
        <w:drawing>
          <wp:inline xmlns:a="http://schemas.openxmlformats.org/drawingml/2006/main" xmlns:pic="http://schemas.openxmlformats.org/drawingml/2006/picture">
            <wp:extent cx="8869680" cy="5719572"/>
            <wp:docPr id="10" name="Picture 10"/>
            <wp:cNvGraphicFramePr>
              <a:graphicFrameLocks noChangeAspect="1"/>
            </wp:cNvGraphicFramePr>
            <a:graphic>
              <a:graphicData uri="http://schemas.openxmlformats.org/drawingml/2006/picture">
                <pic:pic>
                  <pic:nvPicPr>
                    <pic:cNvPr id="0" name="H350_v1_2_TA01_drawing_pack_A3_p1.png"/>
                    <pic:cNvPicPr/>
                  </pic:nvPicPr>
                  <pic:blipFill>
                    <a:blip r:embed="rId30"/>
                    <a:stretch>
                      <a:fillRect/>
                    </a:stretch>
                  </pic:blipFill>
                  <pic:spPr>
                    <a:xfrm>
                      <a:off x="0" y="0"/>
                      <a:ext cx="8869680" cy="5719572"/>
                    </a:xfrm>
                    <a:prstGeom prst="rect"/>
                  </pic:spPr>
                </pic:pic>
              </a:graphicData>
            </a:graphic>
          </wp:inline>
        </w:drawing>
      </w:r>
    </w:p>
    <w:p>
      <w:pPr>
        <w:widowControl/>
      </w:pPr>
      <w:r>
        <w:rPr>
          <w:rFonts w:ascii="Liberation Serif" w:hAnsi="Liberation Serif"/>
        </w:rPr>
        <w:br w:type="page"/>
      </w:r>
    </w:p>
    <w:p>
      <w:pPr>
        <w:jc w:val="center"/>
        <w:widowControl/>
      </w:pPr>
      <w:r>
        <w:rPr>
          <w:rFonts w:ascii="Liberation Sans" w:hAnsi="Liberation Sans"/>
          <w:b/>
          <w:sz w:val="22"/>
        </w:rPr>
        <w:t>D.6 H350 v1.2 TA-01 Drawing Pack A3 - Sheet 2</w:t>
      </w:r>
    </w:p>
    <w:p>
      <w:pPr>
        <w:jc w:val="center"/>
        <w:widowControl/>
      </w:pPr>
      <w:r>
        <w:rPr>
          <w:rFonts w:ascii="Liberation Serif" w:hAnsi="Liberation Serif"/>
        </w:rPr>
        <w:drawing>
          <wp:inline xmlns:a="http://schemas.openxmlformats.org/drawingml/2006/main" xmlns:pic="http://schemas.openxmlformats.org/drawingml/2006/picture">
            <wp:extent cx="8869680" cy="5583127"/>
            <wp:docPr id="11" name="Picture 11"/>
            <wp:cNvGraphicFramePr>
              <a:graphicFrameLocks noChangeAspect="1"/>
            </wp:cNvGraphicFramePr>
            <a:graphic>
              <a:graphicData uri="http://schemas.openxmlformats.org/drawingml/2006/picture">
                <pic:pic>
                  <pic:nvPicPr>
                    <pic:cNvPr id="0" name="H350_v1_2_TA01_drawing_pack_A3_p2.png"/>
                    <pic:cNvPicPr/>
                  </pic:nvPicPr>
                  <pic:blipFill>
                    <a:blip r:embed="rId31"/>
                    <a:stretch>
                      <a:fillRect/>
                    </a:stretch>
                  </pic:blipFill>
                  <pic:spPr>
                    <a:xfrm>
                      <a:off x="0" y="0"/>
                      <a:ext cx="8869680" cy="5583127"/>
                    </a:xfrm>
                    <a:prstGeom prst="rect"/>
                  </pic:spPr>
                </pic:pic>
              </a:graphicData>
            </a:graphic>
          </wp:inline>
        </w:drawing>
      </w:r>
    </w:p>
    <w:p>
      <w:pPr>
        <w:sectPr>
          <w:headerReference w:type="default" r:id="rId40"/>
          <w:footerReference w:type="default" r:id="rId41"/>
          <w:pgSz w:w="15840" w:h="12240" w:orient="landscape"/>
          <w:pgMar w:top="648" w:right="648" w:bottom="648" w:left="648" w:header="360" w:footer="360" w:gutter="0"/>
          <w:cols w:space="720"/>
          <w:docGrid w:linePitch="360"/>
        </w:sectPr>
        <w:widowControl/>
      </w:pPr>
    </w:p>
    <w:p>
      <w:pPr>
        <w:pStyle w:val="Heading1"/>
        <w:keepNext/>
        <w:widowControl/>
      </w:pPr>
      <w:r>
        <w:rPr>
          <w:rFonts w:ascii="Liberation Serif" w:hAnsi="Liberation Serif"/>
        </w:rPr>
        <w:t>Literatur und externe Referenzen</w:t>
      </w:r>
    </w:p>
    <w:p>
      <w:pPr>
        <w:spacing w:after="120"/>
        <w:widowControl/>
      </w:pPr>
      <w:r>
        <w:rPr>
          <w:rFonts w:ascii="Liberation Serif" w:hAnsi="Liberation Serif"/>
          <w:b/>
        </w:rPr>
        <w:t xml:space="preserve">[R1] </w:t>
      </w:r>
      <w:r>
        <w:rPr>
          <w:rFonts w:ascii="Liberation Serif" w:hAnsi="Liberation Serif"/>
        </w:rPr>
        <w:t xml:space="preserve">European Union Aviation Safety Agency (EASA). Final Special Condition SC GAS - Gas Airships, Issue 01. Validity: Not superseded (accessed 19 Sep 2026). </w:t>
      </w:r>
      <w:hyperlink r:id="rId32">
        <w:r>
          <w:rPr>
            <w:color w:val="345B72"/>
            <w:u w:val="single"/>
          </w:rPr>
          <w:t>https://www.easa.europa.eu/en/document-library/product-certification-consultations/final-special-condition-sc-gas-gas-airships</w:t>
        </w:r>
      </w:hyperlink>
    </w:p>
    <w:p>
      <w:pPr>
        <w:spacing w:after="120"/>
        <w:widowControl/>
      </w:pPr>
      <w:r>
        <w:rPr>
          <w:rFonts w:ascii="Liberation Serif" w:hAnsi="Liberation Serif"/>
          <w:b/>
        </w:rPr>
        <w:t xml:space="preserve">[R2] </w:t>
      </w:r>
      <w:r>
        <w:rPr>
          <w:rFonts w:ascii="Liberation Serif" w:hAnsi="Liberation Serif"/>
        </w:rPr>
        <w:t xml:space="preserve">Federal Aviation Administration. Hydrogen-Fueled Aircraft Safety and Certification Roadmap. December 2024. </w:t>
      </w:r>
      <w:hyperlink r:id="rId33">
        <w:r>
          <w:rPr>
            <w:color w:val="345B72"/>
            <w:u w:val="single"/>
          </w:rPr>
          <w:t>https://www.faa.gov/aircraft/air_cert/step/disciplines/propulsion_systems/hydrogen-fueled_aircraft_roadmap</w:t>
        </w:r>
      </w:hyperlink>
    </w:p>
    <w:p>
      <w:pPr>
        <w:spacing w:after="120"/>
        <w:widowControl/>
      </w:pPr>
      <w:r>
        <w:rPr>
          <w:rFonts w:ascii="Liberation Serif" w:hAnsi="Liberation Serif"/>
          <w:b/>
        </w:rPr>
        <w:t xml:space="preserve">[R3] </w:t>
      </w:r>
      <w:r>
        <w:rPr>
          <w:rFonts w:ascii="Liberation Serif" w:hAnsi="Liberation Serif"/>
        </w:rPr>
        <w:t xml:space="preserve">Federal Aviation Administration. AC 25.1309-1B - System Design and Analysis. Active, 30 Aug 2024. </w:t>
      </w:r>
      <w:hyperlink r:id="rId34">
        <w:r>
          <w:rPr>
            <w:color w:val="345B72"/>
            <w:u w:val="single"/>
          </w:rPr>
          <w:t>https://www.faa.gov/regulations_policies/advisory_circulars/index.cfm/go/document.information/documentID/1043037</w:t>
        </w:r>
      </w:hyperlink>
    </w:p>
    <w:p>
      <w:pPr>
        <w:spacing w:after="120"/>
        <w:widowControl/>
      </w:pPr>
      <w:r>
        <w:rPr>
          <w:rFonts w:ascii="Liberation Serif" w:hAnsi="Liberation Serif"/>
          <w:b/>
        </w:rPr>
        <w:t xml:space="preserve">[R4] </w:t>
      </w:r>
      <w:r>
        <w:rPr>
          <w:rFonts w:ascii="Liberation Serif" w:hAnsi="Liberation Serif"/>
        </w:rPr>
        <w:t xml:space="preserve">Federal Aviation Administration. AC 20-107B - Composite Aircraft Structure. Active. </w:t>
      </w:r>
      <w:hyperlink r:id="rId35">
        <w:r>
          <w:rPr>
            <w:color w:val="345B72"/>
            <w:u w:val="single"/>
          </w:rPr>
          <w:t>https://www.faa.gov/airports/resources/advisory_circulars/index.cfm/go/document.information/documentNumber/20-107B</w:t>
        </w:r>
      </w:hyperlink>
    </w:p>
    <w:p>
      <w:pPr>
        <w:spacing w:after="120"/>
        <w:widowControl/>
      </w:pPr>
      <w:r>
        <w:rPr>
          <w:rFonts w:ascii="Liberation Serif" w:hAnsi="Liberation Serif"/>
          <w:b/>
        </w:rPr>
        <w:t xml:space="preserve">[R5] </w:t>
      </w:r>
      <w:r>
        <w:rPr>
          <w:rFonts w:ascii="Liberation Serif" w:hAnsi="Liberation Serif"/>
        </w:rPr>
        <w:t xml:space="preserve">Federal Aviation Administration. AC 20-184 - Guidance on Testing and Installation of Rechargeable Lithium Battery and Battery Systems on Aircraft. Active. </w:t>
      </w:r>
      <w:hyperlink r:id="rId36">
        <w:r>
          <w:rPr>
            <w:color w:val="345B72"/>
            <w:u w:val="single"/>
          </w:rPr>
          <w:t>https://www.faa.gov/airports/resources/advisory_circulars/index.cfm/go/document.information/documentNumber/20-184</w:t>
        </w:r>
      </w:hyperlink>
    </w:p>
    <w:p>
      <w:pPr>
        <w:spacing w:after="120"/>
        <w:widowControl/>
      </w:pPr>
      <w:r>
        <w:rPr>
          <w:rFonts w:ascii="Liberation Serif" w:hAnsi="Liberation Serif"/>
          <w:b/>
        </w:rPr>
        <w:t xml:space="preserve">[R6] </w:t>
      </w:r>
      <w:r>
        <w:rPr>
          <w:rFonts w:ascii="Liberation Serif" w:hAnsi="Liberation Serif"/>
        </w:rPr>
        <w:t xml:space="preserve">SAE International. AIR6127 - Managing Higher Voltages in Aerospace Electrical Systems. Reaffirmed 14 Mar 2023. DOI 10.4271/AIR6127. </w:t>
      </w:r>
      <w:hyperlink r:id="rId37">
        <w:r>
          <w:rPr>
            <w:color w:val="345B72"/>
            <w:u w:val="single"/>
          </w:rPr>
          <w:t>https://saemobilus.sae.org/standards/air6127-managing-higher-voltages-aerospace-electrical-systems</w:t>
        </w:r>
      </w:hyperlink>
    </w:p>
    <w:p>
      <w:pPr>
        <w:spacing w:after="120"/>
        <w:widowControl/>
      </w:pPr>
      <w:r>
        <w:rPr>
          <w:rFonts w:ascii="Liberation Serif" w:hAnsi="Liberation Serif"/>
          <w:b/>
        </w:rPr>
        <w:t xml:space="preserve">[R7] </w:t>
      </w:r>
      <w:r>
        <w:rPr>
          <w:rFonts w:ascii="Liberation Serif" w:hAnsi="Liberation Serif"/>
        </w:rPr>
        <w:t xml:space="preserve">SAE International. AIR6464 - Hydrogen Fuel Cells Aircraft Fuel Cell Safety Guidelines. Reaffirmed 17 Jul 2026. DOI 10.4271/AIR6464. </w:t>
      </w:r>
      <w:hyperlink r:id="rId38">
        <w:r>
          <w:rPr>
            <w:color w:val="345B72"/>
            <w:u w:val="single"/>
          </w:rPr>
          <w:t>https://saemobilus.sae.org/standards/air6464-eurocae-sae-wg80-ae-7afc-hydrogen-fuel-cells-aircraft-fuel-cell-safety-guidelines</w:t>
        </w:r>
      </w:hyperlink>
    </w:p>
    <w:p>
      <w:pPr>
        <w:spacing w:after="120"/>
        <w:widowControl/>
      </w:pPr>
      <w:r>
        <w:rPr>
          <w:rFonts w:ascii="Liberation Serif" w:hAnsi="Liberation Serif"/>
          <w:b/>
        </w:rPr>
        <w:t xml:space="preserve">[R8] </w:t>
      </w:r>
      <w:r>
        <w:rPr>
          <w:rFonts w:ascii="Liberation Serif" w:hAnsi="Liberation Serif"/>
        </w:rPr>
        <w:t xml:space="preserve">Khoury, G. A. (ed.). Airship Technology, 2nd ed. Cambridge University Press, 2012. </w:t>
      </w:r>
    </w:p>
    <w:p>
      <w:pPr>
        <w:spacing w:after="120"/>
        <w:widowControl/>
      </w:pPr>
      <w:r>
        <w:rPr>
          <w:rFonts w:ascii="Liberation Serif" w:hAnsi="Liberation Serif"/>
          <w:b/>
        </w:rPr>
        <w:t xml:space="preserve">[R9] </w:t>
      </w:r>
      <w:r>
        <w:rPr>
          <w:rFonts w:ascii="Liberation Serif" w:hAnsi="Liberation Serif"/>
        </w:rPr>
        <w:t xml:space="preserve">Liao, L.; Pasternak, I. A review of airship structural research and development. Progress in Aerospace Sciences 45 (2009) 83-96. DOI 10.1016/j.paerosci.2009.03.001. </w:t>
      </w:r>
    </w:p>
    <w:p>
      <w:pPr>
        <w:spacing w:after="120"/>
        <w:widowControl/>
      </w:pPr>
      <w:r>
        <w:rPr>
          <w:rFonts w:ascii="Liberation Serif" w:hAnsi="Liberation Serif"/>
          <w:b/>
        </w:rPr>
        <w:t xml:space="preserve">[R10] </w:t>
      </w:r>
      <w:r>
        <w:rPr>
          <w:rFonts w:ascii="Liberation Serif" w:hAnsi="Liberation Serif"/>
        </w:rPr>
        <w:t xml:space="preserve">NASA. NPR 7123.1B - Systems Engineering Processes and Requirements, PDR guidance. </w:t>
      </w:r>
      <w:hyperlink r:id="rId39">
        <w:r>
          <w:rPr>
            <w:color w:val="345B72"/>
            <w:u w:val="single"/>
          </w:rPr>
          <w:t>https://nodis3.gsfc.nasa.gov/displayAll.cfm?Internal_ID=N_PR_7123_001B_&amp;page_name=ALL</w:t>
        </w:r>
      </w:hyperlink>
    </w:p>
    <w:p>
      <w:pPr>
        <w:pStyle w:val="Heading2"/>
        <w:keepNext/>
        <w:widowControl/>
      </w:pPr>
      <w:r>
        <w:rPr>
          <w:rFonts w:ascii="Liberation Serif" w:hAnsi="Liberation Serif"/>
        </w:rPr>
        <w:t>Projektinterne kontrollierte Quellen</w:t>
      </w:r>
    </w:p>
    <w:p>
      <w:pPr>
        <w:pStyle w:val="ListBullet"/>
        <w:widowControl/>
      </w:pPr>
      <w:r>
        <w:rPr>
          <w:rFonts w:ascii="Liberation Serif" w:hAnsi="Liberation Serif"/>
        </w:rPr>
        <w:t>H350_Vorentwurf_v0_1.pdf - v0.1 Konzept-/Vorentwurf</w:t>
      </w:r>
    </w:p>
    <w:p>
      <w:pPr>
        <w:pStyle w:val="ListBullet"/>
        <w:widowControl/>
      </w:pPr>
      <w:r>
        <w:rPr>
          <w:rFonts w:ascii="Liberation Serif" w:hAnsi="Liberation Serif"/>
        </w:rPr>
        <w:t>H350_Vorentwurf_v0_2.pdf - H350-62 v0.2</w:t>
      </w:r>
    </w:p>
    <w:p>
      <w:pPr>
        <w:pStyle w:val="ListBullet"/>
        <w:widowControl/>
      </w:pPr>
      <w:r>
        <w:rPr>
          <w:rFonts w:ascii="Liberation Serif" w:hAnsi="Liberation Serif"/>
        </w:rPr>
        <w:t>H350_Vorentwurf_v0_3.pdf - gekoppelte Systemmodellierung</w:t>
      </w:r>
    </w:p>
    <w:p>
      <w:pPr>
        <w:pStyle w:val="ListBullet"/>
        <w:widowControl/>
      </w:pPr>
      <w:r>
        <w:rPr>
          <w:rFonts w:ascii="Liberation Serif" w:hAnsi="Liberation Serif"/>
        </w:rPr>
        <w:t>H350_Vorentwurf_v0_4.pdf - Preliminary-Design-Baseline</w:t>
      </w:r>
    </w:p>
    <w:p>
      <w:pPr>
        <w:pStyle w:val="ListBullet"/>
        <w:widowControl/>
      </w:pPr>
      <w:r>
        <w:rPr>
          <w:rFonts w:ascii="Liberation Serif" w:hAnsi="Liberation Serif"/>
        </w:rPr>
        <w:t>H350_Vorentwurf_v0_5.pdf</w:t>
      </w:r>
    </w:p>
    <w:p>
      <w:pPr>
        <w:pStyle w:val="ListBullet"/>
        <w:widowControl/>
      </w:pPr>
      <w:r>
        <w:rPr>
          <w:rFonts w:ascii="Liberation Serif" w:hAnsi="Liberation Serif"/>
        </w:rPr>
        <w:t>H350_Vorentwurf_v0_6.pdf - H350-64 Durchmesser-Freeze</w:t>
      </w:r>
    </w:p>
    <w:p>
      <w:pPr>
        <w:pStyle w:val="ListBullet"/>
        <w:widowControl/>
      </w:pPr>
      <w:r>
        <w:rPr>
          <w:rFonts w:ascii="Liberation Serif" w:hAnsi="Liberation Serif"/>
        </w:rPr>
        <w:t>H350_Vorentwurf_v0_7.pdf - Battery/Thermal/Hot-Day</w:t>
      </w:r>
    </w:p>
    <w:p>
      <w:pPr>
        <w:pStyle w:val="ListBullet"/>
        <w:widowControl/>
      </w:pPr>
      <w:r>
        <w:rPr>
          <w:rFonts w:ascii="Liberation Serif" w:hAnsi="Liberation Serif"/>
        </w:rPr>
        <w:t>H350_Vorentwurf_v0_8.pdf - Detail Design Screening</w:t>
      </w:r>
    </w:p>
    <w:p>
      <w:pPr>
        <w:pStyle w:val="ListBullet"/>
        <w:widowControl/>
      </w:pPr>
      <w:r>
        <w:rPr>
          <w:rFonts w:ascii="Liberation Serif" w:hAnsi="Liberation Serif"/>
        </w:rPr>
        <w:t>H350_Vorentwurf_v0_9.pdf - Laminat/Hardpoint/HV/LH2/Manufacturing</w:t>
      </w:r>
    </w:p>
    <w:p>
      <w:pPr>
        <w:pStyle w:val="ListBullet"/>
        <w:widowControl/>
      </w:pPr>
      <w:r>
        <w:rPr>
          <w:rFonts w:ascii="Liberation Serif" w:hAnsi="Liberation Serif"/>
        </w:rPr>
        <w:t>H350_PDR_v1_0.pdf - Conditional PDR Baseline Freeze</w:t>
      </w:r>
    </w:p>
    <w:p>
      <w:pPr>
        <w:pStyle w:val="ListBullet"/>
        <w:widowControl/>
      </w:pPr>
      <w:r>
        <w:rPr>
          <w:rFonts w:ascii="Liberation Serif" w:hAnsi="Liberation Serif"/>
        </w:rPr>
        <w:t>H350_PostPDR_v1_1.pdf - Test-Article Closure Strategy</w:t>
      </w:r>
    </w:p>
    <w:p>
      <w:pPr>
        <w:pStyle w:val="ListBullet"/>
        <w:widowControl/>
      </w:pPr>
      <w:r>
        <w:rPr>
          <w:rFonts w:ascii="Liberation Serif" w:hAnsi="Liberation Serif"/>
        </w:rPr>
        <w:t>H350_TA01_v1_2.pdf - TA-01 Manufacturing Definition and Structural Test Plan</w:t>
      </w:r>
    </w:p>
    <w:p>
      <w:pPr>
        <w:pStyle w:val="ListBullet"/>
        <w:widowControl/>
      </w:pPr>
      <w:r>
        <w:rPr>
          <w:rFonts w:ascii="Liberation Serif" w:hAnsi="Liberation Serif"/>
        </w:rPr>
        <w:t>H350_v1_0_PDR_master_A3.pdf</w:t>
      </w:r>
    </w:p>
    <w:p>
      <w:pPr>
        <w:pStyle w:val="ListBullet"/>
        <w:widowControl/>
      </w:pPr>
      <w:r>
        <w:rPr>
          <w:rFonts w:ascii="Liberation Serif" w:hAnsi="Liberation Serif"/>
        </w:rPr>
        <w:t>H350_v1_1_test_articles_A3.pdf</w:t>
      </w:r>
    </w:p>
    <w:p>
      <w:pPr>
        <w:pStyle w:val="ListBullet"/>
        <w:widowControl/>
      </w:pPr>
      <w:r>
        <w:rPr>
          <w:rFonts w:ascii="Liberation Serif" w:hAnsi="Liberation Serif"/>
        </w:rPr>
        <w:t>H350_v1_2_TA01_drawing_pack_A3.pdf</w:t>
      </w:r>
    </w:p>
    <w:sectPr w:rsidR="00FC693F" w:rsidRPr="0006063C" w:rsidSect="00034616">
      <w:headerReference w:type="default" r:id="rId42"/>
      <w:footerReference w:type="default" r:id="rId43"/>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646464"/>
        <w:sz w:val="16"/>
      </w:rPr>
      <w:t xml:space="preserve">Seite </w:t>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646464"/>
        <w:sz w:val="16"/>
      </w:rPr>
      <w:t xml:space="preserve">Seite </w:t>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646464"/>
        <w:sz w:val="16"/>
      </w:rPr>
      <w:t xml:space="preserve">Seite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color w:val="696969"/>
        <w:sz w:val="15"/>
      </w:rPr>
      <w:t>H350-64 | Master Design Paper v1.3 Theory Closure | Chris Oesterreich</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color w:val="696969"/>
        <w:sz w:val="15"/>
      </w:rPr>
      <w:t>H350-64 | Kontrollierte Zeichnungsblätter | v1.3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color w:val="696969"/>
        <w:sz w:val="15"/>
      </w:rPr>
      <w:t>H350-64 | Master Design Paper v1.3 Theory Closure | Chris Oesterreich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Liberation Serif" w:hAnsi="Liberation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Liberation Sans" w:hAnsi="Liberation Sans"/>
      <w:b/>
      <w:bCs/>
      <w:color w:val="1F4658"/>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Liberation Sans" w:hAnsi="Liberation Sans"/>
      <w:b/>
      <w:bCs/>
      <w:color w:val="2C6075"/>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Liberation Sans" w:hAnsi="Liberation Sans"/>
      <w:b/>
      <w:bCs/>
      <w:color w:val="345B7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F465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www.iabg.de/en/services/testing-qualification/product-qualification/strength-and-fatigue/structural-tests" TargetMode="External"/><Relationship Id="rId17" Type="http://schemas.openxmlformats.org/officeDocument/2006/relationships/hyperlink" Target="https://www.iabg.de/en/services/testing-qualification/product-qualification/electromagnetic-tests" TargetMode="External"/><Relationship Id="rId18" Type="http://schemas.openxmlformats.org/officeDocument/2006/relationships/hyperlink" Target="https://www.ima-dresden.de/en/service-portfolio/focus-industries/aerospace/" TargetMode="External"/><Relationship Id="rId19" Type="http://schemas.openxmlformats.org/officeDocument/2006/relationships/hyperlink" Target="https://www.ima-dresden.de/en/service-portfolio/focus-materials/material-testing-for-plastics-and-composite-materials/" TargetMode="External"/><Relationship Id="rId20" Type="http://schemas.openxmlformats.org/officeDocument/2006/relationships/hyperlink" Target="https://www.dnw.aero/wind-tunnels/nwb/" TargetMode="External"/><Relationship Id="rId21" Type="http://schemas.openxmlformats.org/officeDocument/2006/relationships/hyperlink" Target="https://www.dnw.aero/wind-tunnels/llf/" TargetMode="External"/><Relationship Id="rId22" Type="http://schemas.openxmlformats.org/officeDocument/2006/relationships/hyperlink" Target="https://www.dekra.com/en/battery-testing-builds-confidence/" TargetMode="External"/><Relationship Id="rId23" Type="http://schemas.openxmlformats.org/officeDocument/2006/relationships/hyperlink" Target="https://www.bam.de/Navigation/EN/About-us/Locations/TTS/bam-tts.html" TargetMode="External"/><Relationship Id="rId24" Type="http://schemas.openxmlformats.org/officeDocument/2006/relationships/hyperlink" Target="https://www.tuvsud.com/en/newsroom/press-releases/2026/april/tuev-sued-opens-new-hydrogen-testing-laboratory-in-garching" TargetMode="External"/><Relationship Id="rId25" Type="http://schemas.openxmlformats.org/officeDocument/2006/relationships/hyperlink" Target="https://zal.aero/en/innovation-rt/infrastructure/" TargetMode="External"/><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png"/><Relationship Id="rId30" Type="http://schemas.openxmlformats.org/officeDocument/2006/relationships/image" Target="media/image10.png"/><Relationship Id="rId31" Type="http://schemas.openxmlformats.org/officeDocument/2006/relationships/image" Target="media/image11.png"/><Relationship Id="rId32" Type="http://schemas.openxmlformats.org/officeDocument/2006/relationships/hyperlink" Target="https://www.easa.europa.eu/en/document-library/product-certification-consultations/final-special-condition-sc-gas-gas-airships" TargetMode="External"/><Relationship Id="rId33" Type="http://schemas.openxmlformats.org/officeDocument/2006/relationships/hyperlink" Target="https://www.faa.gov/aircraft/air_cert/step/disciplines/propulsion_systems/hydrogen-fueled_aircraft_roadmap" TargetMode="External"/><Relationship Id="rId34" Type="http://schemas.openxmlformats.org/officeDocument/2006/relationships/hyperlink" Target="https://www.faa.gov/regulations_policies/advisory_circulars/index.cfm/go/document.information/documentID/1043037" TargetMode="External"/><Relationship Id="rId35" Type="http://schemas.openxmlformats.org/officeDocument/2006/relationships/hyperlink" Target="https://www.faa.gov/airports/resources/advisory_circulars/index.cfm/go/document.information/documentNumber/20-107B" TargetMode="External"/><Relationship Id="rId36" Type="http://schemas.openxmlformats.org/officeDocument/2006/relationships/hyperlink" Target="https://www.faa.gov/airports/resources/advisory_circulars/index.cfm/go/document.information/documentNumber/20-184" TargetMode="External"/><Relationship Id="rId37" Type="http://schemas.openxmlformats.org/officeDocument/2006/relationships/hyperlink" Target="https://saemobilus.sae.org/standards/air6127-managing-higher-voltages-aerospace-electrical-systems" TargetMode="External"/><Relationship Id="rId38" Type="http://schemas.openxmlformats.org/officeDocument/2006/relationships/hyperlink" Target="https://saemobilus.sae.org/standards/air6464-eurocae-sae-wg80-ae-7afc-hydrogen-fuel-cells-aircraft-fuel-cell-safety-guidelines" TargetMode="External"/><Relationship Id="rId39" Type="http://schemas.openxmlformats.org/officeDocument/2006/relationships/hyperlink" Target="https://nodis3.gsfc.nasa.gov/displayAll.cfm?Internal_ID=N_PR_7123_001B_&amp;page_name=ALL" TargetMode="External"/><Relationship Id="rId40" Type="http://schemas.openxmlformats.org/officeDocument/2006/relationships/header" Target="header2.xml"/><Relationship Id="rId41" Type="http://schemas.openxmlformats.org/officeDocument/2006/relationships/footer" Target="footer2.xml"/><Relationship Id="rId42" Type="http://schemas.openxmlformats.org/officeDocument/2006/relationships/header" Target="header3.xml"/><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H350-64 Rigid Airship Master Design Paper - v1.3 Theory Closure</dc:title>
  <dc:subject>Consolidated preliminary design, theory closure and verification roadmap</dc:subject>
  <dc:creator>Chris Oesterreich</dc:creator>
  <cp:keywords>H350, rigid airship, hydrogen, preliminary design, PDR, theory closure, verification, CFRP, LH2, PEMFC</cp:keywords>
  <dc:description>generated by python-docx</dc:description>
  <cp:lastModifiedBy/>
  <cp:revision>1</cp:revision>
  <dcterms:created xsi:type="dcterms:W3CDTF">2013-12-23T23:15:00Z</dcterms:created>
  <dcterms:modified xsi:type="dcterms:W3CDTF">2013-12-23T23:15:00Z</dcterms:modified>
  <cp:category/>
</cp:coreProperties>
</file>